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C8814" w14:textId="024CBA83" w:rsidR="00121E89" w:rsidRPr="00A67A41" w:rsidRDefault="002F2050" w:rsidP="00121E89">
      <w:pPr>
        <w:jc w:val="center"/>
        <w:rPr>
          <w:b/>
          <w:bCs/>
        </w:rPr>
      </w:pPr>
      <w:r w:rsidRPr="00A67A41">
        <w:rPr>
          <w:b/>
          <w:bCs/>
        </w:rPr>
        <w:t>2</w:t>
      </w:r>
      <w:r w:rsidR="004D0B8B">
        <w:rPr>
          <w:b/>
          <w:bCs/>
          <w:lang w:val="es-ES"/>
        </w:rPr>
        <w:t>9</w:t>
      </w:r>
      <w:r w:rsidR="00121E89" w:rsidRPr="00A67A41">
        <w:rPr>
          <w:b/>
          <w:bCs/>
        </w:rPr>
        <w:t>/</w:t>
      </w:r>
      <w:r w:rsidR="005006CD" w:rsidRPr="00A67A41">
        <w:rPr>
          <w:b/>
          <w:bCs/>
        </w:rPr>
        <w:t>7</w:t>
      </w:r>
      <w:r w:rsidR="00121E89" w:rsidRPr="00A67A41">
        <w:rPr>
          <w:b/>
          <w:bCs/>
        </w:rPr>
        <w:t>/202</w:t>
      </w:r>
      <w:r w:rsidR="00573A33" w:rsidRPr="00A67A41">
        <w:rPr>
          <w:b/>
          <w:bCs/>
        </w:rPr>
        <w:t>4</w:t>
      </w:r>
    </w:p>
    <w:p w14:paraId="7A461A7F" w14:textId="6EC2F8DD" w:rsidR="005006CD" w:rsidRDefault="005006CD" w:rsidP="00121E89">
      <w:pPr>
        <w:jc w:val="both"/>
      </w:pPr>
      <w:r>
        <w:t xml:space="preserve">Καθοδικά κινήθηκαν οι εξαγωγές της Κρήτης κατά το διάστημα Ιανουαρίου – Απριλίου 2024, σύμφωνα με τα προσωρινά στοιχεία της </w:t>
      </w:r>
      <w:r w:rsidRPr="005006CD">
        <w:rPr>
          <w:rStyle w:val="a3"/>
          <w:b w:val="0"/>
          <w:bCs w:val="0"/>
        </w:rPr>
        <w:t>Ελληνικής Στατιστικής Αρχής</w:t>
      </w:r>
      <w:r w:rsidR="000B7A83">
        <w:rPr>
          <w:rStyle w:val="a3"/>
          <w:b w:val="0"/>
          <w:bCs w:val="0"/>
        </w:rPr>
        <w:t xml:space="preserve">, τα οποία επεξεργάστηκε </w:t>
      </w:r>
      <w:r>
        <w:t>ο Σύνδεσμο</w:t>
      </w:r>
      <w:r w:rsidR="000B7A83">
        <w:t>ς</w:t>
      </w:r>
      <w:r>
        <w:t xml:space="preserve"> Εξαγωγέων Κρήτης. Συγκεκριμένα, οι Κρητικές εξαγωγές έφτασαν τα  262,3 εκατ. ευρώ έναντι </w:t>
      </w:r>
      <w:r w:rsidRPr="005006CD">
        <w:rPr>
          <w:rStyle w:val="a3"/>
          <w:b w:val="0"/>
          <w:bCs w:val="0"/>
        </w:rPr>
        <w:t>439 εκατ.</w:t>
      </w:r>
      <w:r>
        <w:t xml:space="preserve"> ευρώ τον αντίστοιχο διάστημα του 2023, με την μείωση να ανέρχεται σε </w:t>
      </w:r>
      <w:r w:rsidR="000B7A83">
        <w:t>176</w:t>
      </w:r>
      <w:r>
        <w:t>,</w:t>
      </w:r>
      <w:r w:rsidR="000B7A83">
        <w:t>7</w:t>
      </w:r>
      <w:r>
        <w:t xml:space="preserve"> εκατ. </w:t>
      </w:r>
      <w:r w:rsidR="000B7A83">
        <w:t>ε</w:t>
      </w:r>
      <w:r>
        <w:t>υρώ</w:t>
      </w:r>
      <w:r w:rsidR="000B7A83">
        <w:t>,</w:t>
      </w:r>
      <w:r>
        <w:t xml:space="preserve"> δηλαδή </w:t>
      </w:r>
      <w:r w:rsidR="000B7A83">
        <w:t>40,3</w:t>
      </w:r>
      <w:r>
        <w:t>%.</w:t>
      </w:r>
      <w:r w:rsidR="000B7A83">
        <w:t xml:space="preserve"> Σε ποσότητα παρουσιάστηκε επίσης μείωση ίση με 7,9%, με τις εξαγωγές να αγγίζουν τους 172.619 τόνους, έναντι των 187.333 τόνους το 2023. </w:t>
      </w:r>
    </w:p>
    <w:p w14:paraId="4437D590" w14:textId="77777777" w:rsidR="0007294E" w:rsidRDefault="0007294E" w:rsidP="002F2050">
      <w:pPr>
        <w:jc w:val="both"/>
        <w:rPr>
          <w:b/>
          <w:lang w:val="es-ES"/>
        </w:rPr>
      </w:pPr>
    </w:p>
    <w:p w14:paraId="3C85DE9D" w14:textId="5E8F8D97" w:rsidR="002F2050" w:rsidRDefault="002F2050" w:rsidP="002F2050">
      <w:pPr>
        <w:jc w:val="both"/>
        <w:rPr>
          <w:b/>
        </w:rPr>
      </w:pPr>
      <w:r w:rsidRPr="00920E02">
        <w:rPr>
          <w:b/>
        </w:rPr>
        <w:t>Κλάδοι</w:t>
      </w:r>
    </w:p>
    <w:p w14:paraId="76BA0F30" w14:textId="459164AA" w:rsidR="002F2050" w:rsidRDefault="002F2050" w:rsidP="002F2050">
      <w:pPr>
        <w:jc w:val="both"/>
        <w:rPr>
          <w:rFonts w:ascii="Calibri" w:hAnsi="Calibri" w:cs="Calibri"/>
        </w:rPr>
      </w:pPr>
      <w:r>
        <w:t xml:space="preserve">Ο κλάδος των Τροφίμων και Ποτών, ο οποίος αποτελεί το </w:t>
      </w:r>
      <w:r>
        <w:t>59,5</w:t>
      </w:r>
      <w:r>
        <w:t xml:space="preserve">% του συνόλου των Κρητικών εξαγωγών με </w:t>
      </w:r>
      <w:r>
        <w:t>156,1</w:t>
      </w:r>
      <w:r>
        <w:t xml:space="preserve"> εκ. ευρώ, παρουσιάζει </w:t>
      </w:r>
      <w:r>
        <w:t>μείωση</w:t>
      </w:r>
      <w:r>
        <w:t xml:space="preserve"> ίση με </w:t>
      </w:r>
      <w:r>
        <w:t>53,5</w:t>
      </w:r>
      <w:r>
        <w:t xml:space="preserve">%.  Ο κλάδος των Χημικών &amp; Πλαστικών έρχεται δεύτερος, με μερίδιο περίπου </w:t>
      </w:r>
      <w:r>
        <w:t>24,4</w:t>
      </w:r>
      <w:r>
        <w:t xml:space="preserve">% επί του συνόλου των εξαγωγών της Κρήτης και </w:t>
      </w:r>
      <w:r>
        <w:t>αύξηση</w:t>
      </w:r>
      <w:r>
        <w:t xml:space="preserve"> της τάξεως του 4,</w:t>
      </w:r>
      <w:r>
        <w:t>2</w:t>
      </w:r>
      <w:r>
        <w:t xml:space="preserve">%. Ακολουθούν </w:t>
      </w:r>
      <w:r w:rsidRPr="00C2759E">
        <w:rPr>
          <w:rFonts w:ascii="Calibri" w:hAnsi="Calibri" w:cs="Calibri"/>
        </w:rPr>
        <w:t xml:space="preserve">οι κλάδοι </w:t>
      </w:r>
      <w:r>
        <w:rPr>
          <w:rFonts w:ascii="Calibri" w:hAnsi="Calibri" w:cs="Calibri"/>
        </w:rPr>
        <w:t xml:space="preserve">του Αγροτικού Εξοπλισμού (μερίδιο </w:t>
      </w:r>
      <w:r>
        <w:rPr>
          <w:rFonts w:ascii="Calibri" w:hAnsi="Calibri" w:cs="Calibri"/>
        </w:rPr>
        <w:t>5,6</w:t>
      </w:r>
      <w:r>
        <w:rPr>
          <w:rFonts w:ascii="Calibri" w:hAnsi="Calibri" w:cs="Calibri"/>
        </w:rPr>
        <w:t>% και μείωση 9,</w:t>
      </w:r>
      <w:r>
        <w:rPr>
          <w:rFonts w:ascii="Calibri" w:hAnsi="Calibri" w:cs="Calibri"/>
        </w:rPr>
        <w:t>9</w:t>
      </w:r>
      <w:r>
        <w:rPr>
          <w:rFonts w:ascii="Calibri" w:hAnsi="Calibri" w:cs="Calibri"/>
        </w:rPr>
        <w:t xml:space="preserve">%), </w:t>
      </w:r>
      <w:r w:rsidRPr="00C2759E">
        <w:rPr>
          <w:rFonts w:ascii="Calibri" w:hAnsi="Calibri" w:cs="Calibri"/>
        </w:rPr>
        <w:t>τ</w:t>
      </w:r>
      <w:r>
        <w:rPr>
          <w:rFonts w:ascii="Calibri" w:hAnsi="Calibri" w:cs="Calibri"/>
        </w:rPr>
        <w:t>ης</w:t>
      </w:r>
      <w:r w:rsidRPr="00C2759E">
        <w:rPr>
          <w:rFonts w:ascii="Calibri" w:hAnsi="Calibri" w:cs="Calibri"/>
        </w:rPr>
        <w:t xml:space="preserve"> Κλωστοϋφαντουργίας &amp; Ένδυσης (</w:t>
      </w:r>
      <w:r>
        <w:rPr>
          <w:rFonts w:ascii="Calibri" w:hAnsi="Calibri" w:cs="Calibri"/>
        </w:rPr>
        <w:t xml:space="preserve">μερίδιο </w:t>
      </w:r>
      <w:r>
        <w:rPr>
          <w:rFonts w:ascii="Calibri" w:hAnsi="Calibri" w:cs="Calibri"/>
        </w:rPr>
        <w:t>3</w:t>
      </w:r>
      <w:r>
        <w:rPr>
          <w:rFonts w:ascii="Calibri" w:hAnsi="Calibri" w:cs="Calibri"/>
        </w:rPr>
        <w:t>,</w:t>
      </w:r>
      <w:r>
        <w:rPr>
          <w:rFonts w:ascii="Calibri" w:hAnsi="Calibri" w:cs="Calibri"/>
        </w:rPr>
        <w:t>4</w:t>
      </w:r>
      <w:r w:rsidRPr="00C2759E">
        <w:rPr>
          <w:rFonts w:ascii="Calibri" w:hAnsi="Calibri" w:cs="Calibri"/>
        </w:rPr>
        <w:t>%</w:t>
      </w:r>
      <w:r>
        <w:rPr>
          <w:rFonts w:ascii="Calibri" w:hAnsi="Calibri" w:cs="Calibri"/>
        </w:rPr>
        <w:t xml:space="preserve"> και μείωση </w:t>
      </w:r>
      <w:r>
        <w:rPr>
          <w:rFonts w:ascii="Calibri" w:hAnsi="Calibri" w:cs="Calibri"/>
        </w:rPr>
        <w:t>6,3</w:t>
      </w:r>
      <w:r>
        <w:rPr>
          <w:rFonts w:ascii="Calibri" w:hAnsi="Calibri" w:cs="Calibri"/>
        </w:rPr>
        <w:t>%) και με μ</w:t>
      </w:r>
      <w:r w:rsidRPr="00C2759E">
        <w:rPr>
          <w:rFonts w:ascii="Calibri" w:hAnsi="Calibri" w:cs="Calibri"/>
        </w:rPr>
        <w:t>ικρότερα μερίδια οι Μηχανές &amp; Συσκευές, τα Δομικά Υλικά και τα λοιπά βιομηχανικά προϊόντα.</w:t>
      </w:r>
    </w:p>
    <w:p w14:paraId="50FCDBF5" w14:textId="1C2EB044" w:rsidR="002F2050" w:rsidRPr="0007294E" w:rsidRDefault="0007294E" w:rsidP="0007294E">
      <w:pPr>
        <w:jc w:val="center"/>
        <w:rPr>
          <w:rFonts w:ascii="Calibri" w:hAnsi="Calibri" w:cs="Calibri"/>
          <w:b/>
          <w:lang w:val="es-ES"/>
        </w:rPr>
      </w:pPr>
      <w:r w:rsidRPr="0007294E">
        <w:rPr>
          <w:rFonts w:ascii="Calibri" w:hAnsi="Calibri" w:cs="Calibri"/>
          <w:b/>
          <w:lang w:val="es-ES"/>
        </w:rPr>
        <w:drawing>
          <wp:inline distT="0" distB="0" distL="0" distR="0" wp14:anchorId="462CEDCE" wp14:editId="3BEBC273">
            <wp:extent cx="5274310" cy="3943985"/>
            <wp:effectExtent l="0" t="0" r="2540" b="0"/>
            <wp:docPr id="5917072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7072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4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5C0436" w14:textId="77777777" w:rsidR="0007294E" w:rsidRDefault="0007294E" w:rsidP="002F2050">
      <w:pPr>
        <w:jc w:val="both"/>
        <w:rPr>
          <w:rFonts w:ascii="Calibri" w:hAnsi="Calibri" w:cs="Calibri"/>
          <w:b/>
          <w:lang w:val="es-ES"/>
        </w:rPr>
      </w:pPr>
    </w:p>
    <w:p w14:paraId="2BA0E36D" w14:textId="77777777" w:rsidR="009F0079" w:rsidRDefault="009F0079" w:rsidP="0007294E">
      <w:pPr>
        <w:jc w:val="both"/>
        <w:rPr>
          <w:rFonts w:ascii="Calibri" w:hAnsi="Calibri" w:cs="Calibri"/>
          <w:b/>
        </w:rPr>
      </w:pPr>
    </w:p>
    <w:p w14:paraId="3C40F7E0" w14:textId="41A6809D" w:rsidR="002F2050" w:rsidRPr="001E0487" w:rsidRDefault="002F2050" w:rsidP="0007294E">
      <w:pPr>
        <w:jc w:val="both"/>
        <w:rPr>
          <w:rFonts w:ascii="Calibri" w:hAnsi="Calibri" w:cs="Calibri"/>
          <w:b/>
        </w:rPr>
      </w:pPr>
      <w:r w:rsidRPr="00DD6958">
        <w:rPr>
          <w:rFonts w:ascii="Calibri" w:hAnsi="Calibri" w:cs="Calibri"/>
          <w:b/>
        </w:rPr>
        <w:lastRenderedPageBreak/>
        <w:t>Τρόφιμα &amp; Ποτά</w:t>
      </w:r>
    </w:p>
    <w:p w14:paraId="23721E80" w14:textId="42CAA5AB" w:rsidR="002F2050" w:rsidRDefault="002F2050" w:rsidP="002F2050">
      <w:pPr>
        <w:jc w:val="both"/>
        <w:rPr>
          <w:rFonts w:ascii="Calibri" w:hAnsi="Calibri" w:cs="Calibri"/>
        </w:rPr>
      </w:pPr>
      <w:r w:rsidRPr="00C2759E">
        <w:rPr>
          <w:rFonts w:ascii="Calibri" w:hAnsi="Calibri" w:cs="Calibri"/>
        </w:rPr>
        <w:t xml:space="preserve">Στον αγροδιατροφικό τομέα, το </w:t>
      </w:r>
      <w:r>
        <w:rPr>
          <w:rFonts w:ascii="Calibri" w:hAnsi="Calibri" w:cs="Calibri"/>
        </w:rPr>
        <w:t>Ε</w:t>
      </w:r>
      <w:r w:rsidRPr="00C2759E">
        <w:rPr>
          <w:rFonts w:ascii="Calibri" w:hAnsi="Calibri" w:cs="Calibri"/>
        </w:rPr>
        <w:t xml:space="preserve">λαιόλαδο έφτασε </w:t>
      </w:r>
      <w:r w:rsidR="001E0487">
        <w:rPr>
          <w:rFonts w:ascii="Calibri" w:hAnsi="Calibri" w:cs="Calibri"/>
        </w:rPr>
        <w:t>οριακά</w:t>
      </w:r>
      <w:r w:rsidR="0007294E">
        <w:rPr>
          <w:rFonts w:ascii="Calibri" w:hAnsi="Calibri" w:cs="Calibri"/>
        </w:rPr>
        <w:t xml:space="preserve"> </w:t>
      </w:r>
      <w:r w:rsidRPr="00C2759E">
        <w:rPr>
          <w:rFonts w:ascii="Calibri" w:hAnsi="Calibri" w:cs="Calibri"/>
        </w:rPr>
        <w:t xml:space="preserve">τα </w:t>
      </w:r>
      <w:r w:rsidR="0007294E" w:rsidRPr="0007294E">
        <w:rPr>
          <w:rFonts w:ascii="Calibri" w:hAnsi="Calibri" w:cs="Calibri"/>
        </w:rPr>
        <w:t>96</w:t>
      </w:r>
      <w:r w:rsidR="0007294E">
        <w:rPr>
          <w:rFonts w:ascii="Calibri" w:hAnsi="Calibri" w:cs="Calibri"/>
        </w:rPr>
        <w:t>,</w:t>
      </w:r>
      <w:r w:rsidR="0007294E" w:rsidRPr="0007294E">
        <w:rPr>
          <w:rFonts w:ascii="Calibri" w:hAnsi="Calibri" w:cs="Calibri"/>
        </w:rPr>
        <w:t>3</w:t>
      </w:r>
      <w:r w:rsidRPr="00C2759E">
        <w:rPr>
          <w:rFonts w:ascii="Calibri" w:hAnsi="Calibri" w:cs="Calibri"/>
        </w:rPr>
        <w:t xml:space="preserve"> εκ. ευρώ, </w:t>
      </w:r>
      <w:r>
        <w:rPr>
          <w:rFonts w:ascii="Calibri" w:hAnsi="Calibri" w:cs="Calibri"/>
        </w:rPr>
        <w:t xml:space="preserve">καταλαμβάνοντας </w:t>
      </w:r>
      <w:r>
        <w:rPr>
          <w:rFonts w:eastAsia="Times New Roman" w:cstheme="minorHAnsi"/>
        </w:rPr>
        <w:t xml:space="preserve">το </w:t>
      </w:r>
      <w:r w:rsidR="0007294E" w:rsidRPr="0007294E">
        <w:rPr>
          <w:rFonts w:eastAsia="Times New Roman" w:cstheme="minorHAnsi"/>
        </w:rPr>
        <w:t>61,7</w:t>
      </w:r>
      <w:r>
        <w:rPr>
          <w:rFonts w:eastAsia="Times New Roman" w:cstheme="minorHAnsi"/>
        </w:rPr>
        <w:t xml:space="preserve">% στην κατηγορία των Τροφίμων &amp; Ποτών, με </w:t>
      </w:r>
      <w:r w:rsidR="0007294E">
        <w:rPr>
          <w:rFonts w:eastAsia="Times New Roman" w:cstheme="minorHAnsi"/>
        </w:rPr>
        <w:t>μείωση</w:t>
      </w:r>
      <w:r>
        <w:rPr>
          <w:rFonts w:eastAsia="Times New Roman" w:cstheme="minorHAnsi"/>
        </w:rPr>
        <w:t xml:space="preserve"> </w:t>
      </w:r>
      <w:r w:rsidR="0007294E" w:rsidRPr="0007294E">
        <w:rPr>
          <w:rFonts w:ascii="Calibri" w:hAnsi="Calibri" w:cs="Calibri"/>
        </w:rPr>
        <w:t>63,2</w:t>
      </w:r>
      <w:r w:rsidRPr="00C2759E">
        <w:rPr>
          <w:rFonts w:ascii="Calibri" w:hAnsi="Calibri" w:cs="Calibri"/>
        </w:rPr>
        <w:t>%</w:t>
      </w:r>
      <w:r>
        <w:rPr>
          <w:rFonts w:ascii="Calibri" w:hAnsi="Calibri" w:cs="Calibri"/>
        </w:rPr>
        <w:t xml:space="preserve"> σε αξία και </w:t>
      </w:r>
      <w:r w:rsidR="0007294E" w:rsidRPr="0007294E">
        <w:rPr>
          <w:rFonts w:ascii="Calibri" w:hAnsi="Calibri" w:cs="Calibri"/>
        </w:rPr>
        <w:t>77,4</w:t>
      </w:r>
      <w:r>
        <w:rPr>
          <w:rFonts w:ascii="Calibri" w:hAnsi="Calibri" w:cs="Calibri"/>
        </w:rPr>
        <w:t>% σε ποσότητα, σε σχέση με το περυσινό αντίστοιχο διάστημα. Τ</w:t>
      </w:r>
      <w:r w:rsidRPr="00C2759E">
        <w:rPr>
          <w:rFonts w:ascii="Calibri" w:hAnsi="Calibri" w:cs="Calibri"/>
        </w:rPr>
        <w:t xml:space="preserve">α </w:t>
      </w:r>
      <w:r>
        <w:rPr>
          <w:rFonts w:ascii="Calibri" w:hAnsi="Calibri" w:cs="Calibri"/>
        </w:rPr>
        <w:t>Κ</w:t>
      </w:r>
      <w:r w:rsidRPr="00C2759E">
        <w:rPr>
          <w:rFonts w:ascii="Calibri" w:hAnsi="Calibri" w:cs="Calibri"/>
        </w:rPr>
        <w:t xml:space="preserve">ηπευτικά </w:t>
      </w:r>
      <w:r>
        <w:rPr>
          <w:rFonts w:ascii="Calibri" w:hAnsi="Calibri" w:cs="Calibri"/>
        </w:rPr>
        <w:t xml:space="preserve">έφτασαν </w:t>
      </w:r>
      <w:r w:rsidRPr="00C2759E">
        <w:rPr>
          <w:rFonts w:ascii="Calibri" w:hAnsi="Calibri" w:cs="Calibri"/>
        </w:rPr>
        <w:t xml:space="preserve">τα </w:t>
      </w:r>
      <w:r w:rsidR="0007294E">
        <w:rPr>
          <w:rFonts w:ascii="Calibri" w:hAnsi="Calibri" w:cs="Calibri"/>
        </w:rPr>
        <w:t>42,1</w:t>
      </w:r>
      <w:r w:rsidRPr="00C2759E">
        <w:rPr>
          <w:rFonts w:ascii="Calibri" w:hAnsi="Calibri" w:cs="Calibri"/>
        </w:rPr>
        <w:t xml:space="preserve"> εκ. ευρώ με </w:t>
      </w:r>
      <w:r w:rsidR="0007294E">
        <w:rPr>
          <w:rFonts w:ascii="Calibri" w:hAnsi="Calibri" w:cs="Calibri"/>
        </w:rPr>
        <w:t>μείωση 21,8</w:t>
      </w:r>
      <w:r w:rsidRPr="00C2759E">
        <w:rPr>
          <w:rFonts w:ascii="Calibri" w:hAnsi="Calibri" w:cs="Calibri"/>
        </w:rPr>
        <w:t>%</w:t>
      </w:r>
      <w:r>
        <w:rPr>
          <w:rFonts w:ascii="Calibri" w:hAnsi="Calibri" w:cs="Calibri"/>
        </w:rPr>
        <w:t xml:space="preserve">, </w:t>
      </w:r>
      <w:r w:rsidRPr="00C2759E">
        <w:rPr>
          <w:rFonts w:ascii="Calibri" w:hAnsi="Calibri" w:cs="Calibri"/>
        </w:rPr>
        <w:t>τα</w:t>
      </w:r>
      <w:r>
        <w:rPr>
          <w:rFonts w:ascii="Calibri" w:hAnsi="Calibri" w:cs="Calibri"/>
        </w:rPr>
        <w:t xml:space="preserve"> </w:t>
      </w:r>
      <w:r w:rsidRPr="00C2759E">
        <w:rPr>
          <w:rFonts w:ascii="Calibri" w:hAnsi="Calibri" w:cs="Calibri"/>
        </w:rPr>
        <w:t xml:space="preserve">Ψάρια &amp; Θαλασσινά τα </w:t>
      </w:r>
      <w:r w:rsidR="0007294E">
        <w:rPr>
          <w:rFonts w:ascii="Calibri" w:hAnsi="Calibri" w:cs="Calibri"/>
        </w:rPr>
        <w:t>4,2</w:t>
      </w:r>
      <w:r w:rsidRPr="00C2759E">
        <w:rPr>
          <w:rFonts w:ascii="Calibri" w:hAnsi="Calibri" w:cs="Calibri"/>
        </w:rPr>
        <w:t xml:space="preserve"> εκ. ευρώ και </w:t>
      </w:r>
      <w:r>
        <w:rPr>
          <w:rFonts w:ascii="Calibri" w:hAnsi="Calibri" w:cs="Calibri"/>
        </w:rPr>
        <w:t xml:space="preserve">αύξηση </w:t>
      </w:r>
      <w:r w:rsidR="0007294E">
        <w:rPr>
          <w:rFonts w:ascii="Calibri" w:hAnsi="Calibri" w:cs="Calibri"/>
        </w:rPr>
        <w:t>13,5</w:t>
      </w:r>
      <w:r w:rsidRPr="00C2759E">
        <w:rPr>
          <w:rFonts w:ascii="Calibri" w:hAnsi="Calibri" w:cs="Calibri"/>
        </w:rPr>
        <w:t>%</w:t>
      </w:r>
      <w:r>
        <w:rPr>
          <w:rFonts w:ascii="Calibri" w:hAnsi="Calibri" w:cs="Calibri"/>
        </w:rPr>
        <w:t xml:space="preserve">, τα Φρούτα τα </w:t>
      </w:r>
      <w:r w:rsidR="0007294E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εκ. ευρώ και </w:t>
      </w:r>
      <w:r w:rsidR="0007294E">
        <w:rPr>
          <w:rFonts w:ascii="Calibri" w:hAnsi="Calibri" w:cs="Calibri"/>
        </w:rPr>
        <w:t>μείωση 11,8</w:t>
      </w:r>
      <w:r>
        <w:rPr>
          <w:rFonts w:ascii="Calibri" w:hAnsi="Calibri" w:cs="Calibri"/>
        </w:rPr>
        <w:t>% και με μ</w:t>
      </w:r>
      <w:r w:rsidRPr="00C2759E">
        <w:rPr>
          <w:rFonts w:ascii="Calibri" w:hAnsi="Calibri" w:cs="Calibri"/>
        </w:rPr>
        <w:t xml:space="preserve">ικρότερα ποσοστά </w:t>
      </w:r>
      <w:r>
        <w:rPr>
          <w:rFonts w:ascii="Calibri" w:hAnsi="Calibri" w:cs="Calibri"/>
        </w:rPr>
        <w:t>ακολουθούν</w:t>
      </w:r>
      <w:r w:rsidRPr="00C2759E">
        <w:rPr>
          <w:rFonts w:ascii="Calibri" w:hAnsi="Calibri" w:cs="Calibri"/>
        </w:rPr>
        <w:t xml:space="preserve"> η κατηγορία των Νερών – Αναψυκτικών – Χυμών, </w:t>
      </w:r>
      <w:r w:rsidR="0007294E">
        <w:rPr>
          <w:rFonts w:ascii="Calibri" w:hAnsi="Calibri" w:cs="Calibri"/>
        </w:rPr>
        <w:t xml:space="preserve">τα Γαλακτοκομικά, </w:t>
      </w:r>
      <w:r w:rsidRPr="00C2759E">
        <w:rPr>
          <w:rFonts w:ascii="Calibri" w:hAnsi="Calibri" w:cs="Calibri"/>
        </w:rPr>
        <w:t xml:space="preserve">το </w:t>
      </w:r>
      <w:r>
        <w:rPr>
          <w:rFonts w:ascii="Calibri" w:hAnsi="Calibri" w:cs="Calibri"/>
        </w:rPr>
        <w:t>Κρασί,</w:t>
      </w:r>
      <w:r w:rsidR="0007294E">
        <w:rPr>
          <w:rFonts w:ascii="Calibri" w:hAnsi="Calibri" w:cs="Calibri"/>
        </w:rPr>
        <w:t xml:space="preserve"> </w:t>
      </w:r>
      <w:r w:rsidRPr="00C2759E">
        <w:rPr>
          <w:rFonts w:ascii="Calibri" w:hAnsi="Calibri" w:cs="Calibri"/>
        </w:rPr>
        <w:t xml:space="preserve"> το Κρέας &amp; Παρασκευάσματά του</w:t>
      </w:r>
      <w:r w:rsidR="0007294E">
        <w:rPr>
          <w:rFonts w:ascii="Calibri" w:hAnsi="Calibri" w:cs="Calibri"/>
        </w:rPr>
        <w:t xml:space="preserve"> και το Μέλι.</w:t>
      </w:r>
      <w:r w:rsidRPr="00C2759E">
        <w:rPr>
          <w:rFonts w:ascii="Calibri" w:hAnsi="Calibri" w:cs="Calibri"/>
        </w:rPr>
        <w:t xml:space="preserve"> </w:t>
      </w:r>
    </w:p>
    <w:tbl>
      <w:tblPr>
        <w:tblStyle w:val="5-2"/>
        <w:tblW w:w="3397" w:type="dxa"/>
        <w:jc w:val="center"/>
        <w:tblLook w:val="04A0" w:firstRow="1" w:lastRow="0" w:firstColumn="1" w:lastColumn="0" w:noHBand="0" w:noVBand="1"/>
      </w:tblPr>
      <w:tblGrid>
        <w:gridCol w:w="1301"/>
        <w:gridCol w:w="1127"/>
        <w:gridCol w:w="960"/>
        <w:gridCol w:w="9"/>
      </w:tblGrid>
      <w:tr w:rsidR="0007294E" w:rsidRPr="0057270F" w14:paraId="47C5B12B" w14:textId="77777777" w:rsidTr="001B08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gridSpan w:val="4"/>
            <w:noWrap/>
            <w:hideMark/>
          </w:tcPr>
          <w:p w14:paraId="2D0F8748" w14:textId="77777777" w:rsidR="0007294E" w:rsidRPr="0057270F" w:rsidRDefault="0007294E" w:rsidP="001B0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66597">
              <w:rPr>
                <w:rFonts w:ascii="Calibri" w:eastAsia="Times New Roman" w:hAnsi="Calibri" w:cs="Calibri"/>
                <w:lang w:eastAsia="el-GR"/>
              </w:rPr>
              <w:t>Ελαιόλαδο</w:t>
            </w:r>
          </w:p>
        </w:tc>
      </w:tr>
      <w:tr w:rsidR="0007294E" w:rsidRPr="0057270F" w14:paraId="49B92B95" w14:textId="77777777" w:rsidTr="001B085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1" w:type="dxa"/>
            <w:noWrap/>
            <w:hideMark/>
          </w:tcPr>
          <w:p w14:paraId="062A9A90" w14:textId="77777777" w:rsidR="0007294E" w:rsidRPr="0057270F" w:rsidRDefault="0007294E" w:rsidP="001B0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7270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27" w:type="dxa"/>
            <w:noWrap/>
            <w:hideMark/>
          </w:tcPr>
          <w:p w14:paraId="2B7834EB" w14:textId="77777777" w:rsidR="0007294E" w:rsidRPr="0057270F" w:rsidRDefault="0007294E" w:rsidP="001B085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7270F">
              <w:rPr>
                <w:rFonts w:ascii="Calibri" w:eastAsia="Times New Roman" w:hAnsi="Calibri" w:cs="Calibri"/>
                <w:color w:val="000000"/>
                <w:lang w:eastAsia="el-GR"/>
              </w:rPr>
              <w:t>ΕΚ. ΕΥΡΩ</w:t>
            </w:r>
          </w:p>
        </w:tc>
        <w:tc>
          <w:tcPr>
            <w:tcW w:w="960" w:type="dxa"/>
            <w:noWrap/>
            <w:hideMark/>
          </w:tcPr>
          <w:p w14:paraId="3D92F476" w14:textId="77777777" w:rsidR="0007294E" w:rsidRPr="0057270F" w:rsidRDefault="0007294E" w:rsidP="001B085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7270F">
              <w:rPr>
                <w:rFonts w:ascii="Calibri" w:eastAsia="Times New Roman" w:hAnsi="Calibri" w:cs="Calibri"/>
                <w:color w:val="000000"/>
                <w:lang w:eastAsia="el-GR"/>
              </w:rPr>
              <w:t>ΤΟΝΟΙ</w:t>
            </w:r>
          </w:p>
        </w:tc>
      </w:tr>
      <w:tr w:rsidR="0007294E" w:rsidRPr="0057270F" w14:paraId="573202EE" w14:textId="77777777" w:rsidTr="001B0859">
        <w:trPr>
          <w:gridAfter w:val="1"/>
          <w:wAfter w:w="9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1" w:type="dxa"/>
            <w:noWrap/>
            <w:hideMark/>
          </w:tcPr>
          <w:p w14:paraId="5FC9CF5D" w14:textId="77777777" w:rsidR="0007294E" w:rsidRPr="0057270F" w:rsidRDefault="0007294E" w:rsidP="001B0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57270F">
              <w:rPr>
                <w:rFonts w:ascii="Calibri" w:eastAsia="Times New Roman" w:hAnsi="Calibri" w:cs="Calibri"/>
                <w:lang w:eastAsia="el-GR"/>
              </w:rPr>
              <w:t>2023</w:t>
            </w:r>
          </w:p>
        </w:tc>
        <w:tc>
          <w:tcPr>
            <w:tcW w:w="1127" w:type="dxa"/>
            <w:noWrap/>
            <w:hideMark/>
          </w:tcPr>
          <w:p w14:paraId="5C2513A0" w14:textId="77777777" w:rsidR="0007294E" w:rsidRPr="0057270F" w:rsidRDefault="0007294E" w:rsidP="001B085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7270F">
              <w:rPr>
                <w:rFonts w:ascii="Calibri" w:eastAsia="Times New Roman" w:hAnsi="Calibri" w:cs="Calibri"/>
                <w:color w:val="000000"/>
                <w:lang w:eastAsia="el-GR"/>
              </w:rPr>
              <w:t>261,6</w:t>
            </w:r>
          </w:p>
        </w:tc>
        <w:tc>
          <w:tcPr>
            <w:tcW w:w="960" w:type="dxa"/>
            <w:noWrap/>
            <w:hideMark/>
          </w:tcPr>
          <w:p w14:paraId="156ED019" w14:textId="77777777" w:rsidR="0007294E" w:rsidRPr="0057270F" w:rsidRDefault="0007294E" w:rsidP="001B085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7270F">
              <w:rPr>
                <w:rFonts w:ascii="Calibri" w:eastAsia="Times New Roman" w:hAnsi="Calibri" w:cs="Calibri"/>
                <w:color w:val="000000"/>
                <w:lang w:eastAsia="el-GR"/>
              </w:rPr>
              <w:t>54.407</w:t>
            </w:r>
          </w:p>
        </w:tc>
      </w:tr>
      <w:tr w:rsidR="0007294E" w:rsidRPr="0057270F" w14:paraId="11B4234B" w14:textId="77777777" w:rsidTr="001B085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1" w:type="dxa"/>
            <w:noWrap/>
            <w:hideMark/>
          </w:tcPr>
          <w:p w14:paraId="34A758FA" w14:textId="77777777" w:rsidR="0007294E" w:rsidRPr="0057270F" w:rsidRDefault="0007294E" w:rsidP="001B0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57270F">
              <w:rPr>
                <w:rFonts w:ascii="Calibri" w:eastAsia="Times New Roman" w:hAnsi="Calibri" w:cs="Calibri"/>
                <w:lang w:eastAsia="el-GR"/>
              </w:rPr>
              <w:t>2024</w:t>
            </w:r>
          </w:p>
        </w:tc>
        <w:tc>
          <w:tcPr>
            <w:tcW w:w="1127" w:type="dxa"/>
            <w:noWrap/>
            <w:hideMark/>
          </w:tcPr>
          <w:p w14:paraId="130D339C" w14:textId="77777777" w:rsidR="0007294E" w:rsidRPr="0057270F" w:rsidRDefault="0007294E" w:rsidP="001B0859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7270F">
              <w:rPr>
                <w:rFonts w:ascii="Calibri" w:eastAsia="Times New Roman" w:hAnsi="Calibri" w:cs="Calibri"/>
                <w:color w:val="000000"/>
                <w:lang w:eastAsia="el-GR"/>
              </w:rPr>
              <w:t>96,3</w:t>
            </w:r>
          </w:p>
        </w:tc>
        <w:tc>
          <w:tcPr>
            <w:tcW w:w="960" w:type="dxa"/>
            <w:noWrap/>
            <w:hideMark/>
          </w:tcPr>
          <w:p w14:paraId="7C819167" w14:textId="77777777" w:rsidR="0007294E" w:rsidRPr="0057270F" w:rsidRDefault="0007294E" w:rsidP="001B0859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7270F">
              <w:rPr>
                <w:rFonts w:ascii="Calibri" w:eastAsia="Times New Roman" w:hAnsi="Calibri" w:cs="Calibri"/>
                <w:color w:val="000000"/>
                <w:lang w:eastAsia="el-GR"/>
              </w:rPr>
              <w:t>12.277</w:t>
            </w:r>
          </w:p>
        </w:tc>
      </w:tr>
      <w:tr w:rsidR="0007294E" w:rsidRPr="0057270F" w14:paraId="252E855A" w14:textId="77777777" w:rsidTr="001B0859">
        <w:trPr>
          <w:gridAfter w:val="1"/>
          <w:wAfter w:w="9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1" w:type="dxa"/>
            <w:noWrap/>
            <w:hideMark/>
          </w:tcPr>
          <w:p w14:paraId="46BAA5EC" w14:textId="77777777" w:rsidR="0007294E" w:rsidRPr="0057270F" w:rsidRDefault="0007294E" w:rsidP="001B0859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7270F">
              <w:rPr>
                <w:rFonts w:ascii="Calibri" w:eastAsia="Times New Roman" w:hAnsi="Calibri" w:cs="Calibri"/>
                <w:lang w:eastAsia="el-GR"/>
              </w:rPr>
              <w:t>ΜΕΤΑΒΟΛΗ</w:t>
            </w:r>
          </w:p>
        </w:tc>
        <w:tc>
          <w:tcPr>
            <w:tcW w:w="1127" w:type="dxa"/>
            <w:noWrap/>
            <w:hideMark/>
          </w:tcPr>
          <w:p w14:paraId="017C38FD" w14:textId="77777777" w:rsidR="0007294E" w:rsidRPr="0057270F" w:rsidRDefault="0007294E" w:rsidP="001B085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7270F">
              <w:rPr>
                <w:rFonts w:ascii="Calibri" w:eastAsia="Times New Roman" w:hAnsi="Calibri" w:cs="Calibri"/>
                <w:color w:val="000000"/>
                <w:lang w:eastAsia="el-GR"/>
              </w:rPr>
              <w:t>-63,19</w:t>
            </w:r>
          </w:p>
        </w:tc>
        <w:tc>
          <w:tcPr>
            <w:tcW w:w="960" w:type="dxa"/>
            <w:noWrap/>
            <w:hideMark/>
          </w:tcPr>
          <w:p w14:paraId="15A2E4C1" w14:textId="77777777" w:rsidR="0007294E" w:rsidRPr="0057270F" w:rsidRDefault="0007294E" w:rsidP="001B085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7270F">
              <w:rPr>
                <w:rFonts w:ascii="Calibri" w:eastAsia="Times New Roman" w:hAnsi="Calibri" w:cs="Calibri"/>
                <w:color w:val="000000"/>
                <w:lang w:eastAsia="el-GR"/>
              </w:rPr>
              <w:t>-77,43</w:t>
            </w:r>
          </w:p>
        </w:tc>
      </w:tr>
    </w:tbl>
    <w:p w14:paraId="14376AF9" w14:textId="77777777" w:rsidR="0007294E" w:rsidRDefault="0007294E" w:rsidP="002F2050">
      <w:pPr>
        <w:jc w:val="both"/>
        <w:rPr>
          <w:rFonts w:ascii="Calibri" w:hAnsi="Calibri" w:cs="Calibri"/>
        </w:rPr>
      </w:pPr>
    </w:p>
    <w:p w14:paraId="438DA56E" w14:textId="0953831F" w:rsidR="008265CA" w:rsidRDefault="008265CA" w:rsidP="008265C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Να αναφέρουμε σε αυτό το σημείο ότι </w:t>
      </w:r>
      <w:r w:rsidR="003A5F5B">
        <w:rPr>
          <w:rFonts w:ascii="Calibri" w:hAnsi="Calibri" w:cs="Calibri"/>
        </w:rPr>
        <w:t xml:space="preserve">για </w:t>
      </w:r>
      <w:r>
        <w:rPr>
          <w:rFonts w:ascii="Calibri" w:hAnsi="Calibri" w:cs="Calibri"/>
        </w:rPr>
        <w:t xml:space="preserve">το κυριότερο εξαγώγιμο προϊόν της Κρήτης, το ελαιόλαδο, </w:t>
      </w:r>
      <w:r w:rsidR="009E6D07">
        <w:rPr>
          <w:rFonts w:ascii="Calibri" w:hAnsi="Calibri" w:cs="Calibri"/>
        </w:rPr>
        <w:t xml:space="preserve">με βάση τις προβλέψεις που είχαμε κάνει ήταν αναμενόμενη η τεράστια </w:t>
      </w:r>
      <w:r w:rsidR="003A5F5B">
        <w:rPr>
          <w:rFonts w:ascii="Calibri" w:hAnsi="Calibri" w:cs="Calibri"/>
        </w:rPr>
        <w:t xml:space="preserve">μείωση </w:t>
      </w:r>
      <w:r w:rsidR="00990038">
        <w:rPr>
          <w:rFonts w:ascii="Calibri" w:hAnsi="Calibri" w:cs="Calibri"/>
        </w:rPr>
        <w:t>που παρατηρείται</w:t>
      </w:r>
      <w:r w:rsidR="003A5F5B">
        <w:rPr>
          <w:rFonts w:ascii="Calibri" w:hAnsi="Calibri" w:cs="Calibri"/>
        </w:rPr>
        <w:t xml:space="preserve">. </w:t>
      </w:r>
      <w:r w:rsidR="009E6D07">
        <w:rPr>
          <w:rFonts w:ascii="Calibri" w:hAnsi="Calibri" w:cs="Calibri"/>
        </w:rPr>
        <w:t xml:space="preserve">Η </w:t>
      </w:r>
      <w:r>
        <w:rPr>
          <w:rFonts w:ascii="Calibri" w:hAnsi="Calibri" w:cs="Calibri"/>
        </w:rPr>
        <w:t xml:space="preserve">εξαιρετικά χαμηλή παραγωγή της τελευταίας ελαιοκομικής περιόδου και </w:t>
      </w:r>
      <w:r w:rsidR="009E6D07">
        <w:rPr>
          <w:rFonts w:ascii="Calibri" w:hAnsi="Calibri" w:cs="Calibri"/>
        </w:rPr>
        <w:t>η ασυνήθιστα υψ</w:t>
      </w:r>
      <w:r w:rsidR="003A5F5B">
        <w:rPr>
          <w:rFonts w:ascii="Calibri" w:hAnsi="Calibri" w:cs="Calibri"/>
        </w:rPr>
        <w:t>η</w:t>
      </w:r>
      <w:r w:rsidR="009E6D07">
        <w:rPr>
          <w:rFonts w:ascii="Calibri" w:hAnsi="Calibri" w:cs="Calibri"/>
        </w:rPr>
        <w:t xml:space="preserve">λή τιμή είναι οι κύριοι λόγοι που ευθύνονται </w:t>
      </w:r>
      <w:r>
        <w:rPr>
          <w:rFonts w:ascii="Calibri" w:hAnsi="Calibri" w:cs="Calibri"/>
        </w:rPr>
        <w:t>για τη μείωση</w:t>
      </w:r>
      <w:r w:rsidR="009E6D07">
        <w:rPr>
          <w:rFonts w:ascii="Calibri" w:hAnsi="Calibri" w:cs="Calibri"/>
        </w:rPr>
        <w:t xml:space="preserve"> των εξαγωγών του </w:t>
      </w:r>
      <w:r w:rsidR="00990038">
        <w:rPr>
          <w:rFonts w:ascii="Calibri" w:hAnsi="Calibri" w:cs="Calibri"/>
        </w:rPr>
        <w:t xml:space="preserve">συγκεκριμένου </w:t>
      </w:r>
      <w:r w:rsidR="009E6D07">
        <w:rPr>
          <w:rFonts w:ascii="Calibri" w:hAnsi="Calibri" w:cs="Calibri"/>
        </w:rPr>
        <w:t>προϊόντος</w:t>
      </w:r>
      <w:r w:rsidR="00990038">
        <w:rPr>
          <w:rFonts w:ascii="Calibri" w:hAnsi="Calibri" w:cs="Calibri"/>
        </w:rPr>
        <w:t xml:space="preserve"> και κατ’ επέκταση του</w:t>
      </w:r>
      <w:r>
        <w:rPr>
          <w:rFonts w:ascii="Calibri" w:hAnsi="Calibri" w:cs="Calibri"/>
        </w:rPr>
        <w:t xml:space="preserve"> </w:t>
      </w:r>
      <w:r w:rsidR="00990038">
        <w:rPr>
          <w:rFonts w:ascii="Calibri" w:hAnsi="Calibri" w:cs="Calibri"/>
        </w:rPr>
        <w:t>συνόλου</w:t>
      </w:r>
      <w:r>
        <w:rPr>
          <w:rFonts w:ascii="Calibri" w:hAnsi="Calibri" w:cs="Calibri"/>
        </w:rPr>
        <w:t xml:space="preserve"> των εξαγωγών της Κρήτης. </w:t>
      </w:r>
    </w:p>
    <w:p w14:paraId="166E2A95" w14:textId="55540EF5" w:rsidR="0007294E" w:rsidRPr="002D75D2" w:rsidRDefault="00412AB6" w:rsidP="002F2050">
      <w:pPr>
        <w:jc w:val="both"/>
        <w:rPr>
          <w:rFonts w:ascii="Calibri" w:hAnsi="Calibri" w:cs="Calibri"/>
        </w:rPr>
      </w:pPr>
      <w:r w:rsidRPr="00412AB6">
        <w:rPr>
          <w:rFonts w:ascii="Calibri" w:hAnsi="Calibri" w:cs="Calibri"/>
        </w:rPr>
        <w:drawing>
          <wp:inline distT="0" distB="0" distL="0" distR="0" wp14:anchorId="14CEC198" wp14:editId="0777C3C7">
            <wp:extent cx="5274310" cy="3941445"/>
            <wp:effectExtent l="0" t="0" r="2540" b="1905"/>
            <wp:docPr id="101489201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89201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4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EC7402" w14:textId="77777777" w:rsidR="0007294E" w:rsidRPr="0007294E" w:rsidRDefault="0007294E" w:rsidP="002F2050">
      <w:pPr>
        <w:jc w:val="both"/>
        <w:rPr>
          <w:rFonts w:ascii="Calibri" w:hAnsi="Calibri" w:cs="Calibri"/>
          <w:lang w:val="es-ES"/>
        </w:rPr>
      </w:pPr>
    </w:p>
    <w:p w14:paraId="2B5C593F" w14:textId="77777777" w:rsidR="009F0079" w:rsidRDefault="009F0079" w:rsidP="002F2050">
      <w:pPr>
        <w:spacing w:after="160" w:line="259" w:lineRule="auto"/>
        <w:rPr>
          <w:rFonts w:ascii="Calibri" w:hAnsi="Calibri" w:cs="Calibri"/>
          <w:b/>
        </w:rPr>
      </w:pPr>
    </w:p>
    <w:p w14:paraId="3B68D287" w14:textId="56418A1D" w:rsidR="002F2050" w:rsidRPr="00497EEB" w:rsidRDefault="002F2050" w:rsidP="002F2050">
      <w:pPr>
        <w:spacing w:after="160" w:line="259" w:lineRule="auto"/>
        <w:rPr>
          <w:rFonts w:ascii="Calibri" w:hAnsi="Calibri" w:cs="Calibri"/>
          <w:b/>
        </w:rPr>
      </w:pPr>
      <w:r w:rsidRPr="00497EEB">
        <w:rPr>
          <w:rFonts w:ascii="Calibri" w:hAnsi="Calibri" w:cs="Calibri"/>
          <w:b/>
        </w:rPr>
        <w:t>Βιομηχανία</w:t>
      </w:r>
    </w:p>
    <w:p w14:paraId="3F614FF9" w14:textId="3B86A771" w:rsidR="002F2050" w:rsidRDefault="002F2050" w:rsidP="002F2050">
      <w:pPr>
        <w:jc w:val="both"/>
        <w:rPr>
          <w:rFonts w:ascii="Calibri" w:hAnsi="Calibri" w:cs="Calibri"/>
          <w:b/>
        </w:rPr>
      </w:pPr>
      <w:r>
        <w:t xml:space="preserve">Από τα προϊόντα εκτός αγροδιατροφικού τομέα, το μεγαλύτερο ποσοστό καταλαμβάνει ο κλάδος των Χημικών &amp; Πλαστικών (μερίδιο </w:t>
      </w:r>
      <w:r w:rsidR="008A0587">
        <w:t>24,4</w:t>
      </w:r>
      <w:r>
        <w:t>% στο σύνολο των Κρητικών εξαγωγών), με κυριότερα προϊόντα τις πλαστικές μεμβράνες και τα πλαστικά φύλλα, τα είδη συσκευασίας από πλαστικές ύλες, τις χρωστικές ύλες κ.α. Ιδιαίτερα σημαντική είναι επίσης η εξαγωγή Αγροτικού Εξοπλισμού, με κυριότερο προϊόν τα δίχτυα αγροτικής χρήσης.</w:t>
      </w:r>
    </w:p>
    <w:p w14:paraId="5F1E8F24" w14:textId="77777777" w:rsidR="009F0079" w:rsidRDefault="009F0079" w:rsidP="00121E89">
      <w:pPr>
        <w:jc w:val="both"/>
        <w:rPr>
          <w:rFonts w:ascii="Calibri" w:hAnsi="Calibri" w:cs="Calibri"/>
          <w:b/>
        </w:rPr>
      </w:pPr>
    </w:p>
    <w:p w14:paraId="4C08D57F" w14:textId="10D89025" w:rsidR="00121E89" w:rsidRPr="00497EEB" w:rsidRDefault="00121E89" w:rsidP="00121E89">
      <w:pPr>
        <w:jc w:val="both"/>
        <w:rPr>
          <w:rFonts w:ascii="Calibri" w:hAnsi="Calibri" w:cs="Calibri"/>
          <w:b/>
        </w:rPr>
      </w:pPr>
      <w:r w:rsidRPr="00497EEB">
        <w:rPr>
          <w:rFonts w:ascii="Calibri" w:hAnsi="Calibri" w:cs="Calibri"/>
          <w:b/>
        </w:rPr>
        <w:t>Αγορές</w:t>
      </w:r>
    </w:p>
    <w:p w14:paraId="09F33C89" w14:textId="339248C3" w:rsidR="00121E89" w:rsidRDefault="00121E89" w:rsidP="00121E89">
      <w:pPr>
        <w:jc w:val="both"/>
        <w:rPr>
          <w:rFonts w:ascii="Calibri" w:hAnsi="Calibri" w:cs="Calibri"/>
        </w:rPr>
      </w:pPr>
      <w:r w:rsidRPr="00C2759E">
        <w:rPr>
          <w:rFonts w:ascii="Calibri" w:hAnsi="Calibri" w:cs="Calibri"/>
        </w:rPr>
        <w:t>Σχετικά με τις αγορές, οι κυριότεροι αγοραστές τ</w:t>
      </w:r>
      <w:r>
        <w:rPr>
          <w:rFonts w:ascii="Calibri" w:hAnsi="Calibri" w:cs="Calibri"/>
        </w:rPr>
        <w:t>ων</w:t>
      </w:r>
      <w:r w:rsidRPr="00C2759E">
        <w:rPr>
          <w:rFonts w:ascii="Calibri" w:hAnsi="Calibri" w:cs="Calibri"/>
        </w:rPr>
        <w:t xml:space="preserve"> Κρητικών προϊόντων είναι η </w:t>
      </w:r>
      <w:r w:rsidR="00FA28C4">
        <w:rPr>
          <w:rFonts w:ascii="Calibri" w:hAnsi="Calibri" w:cs="Calibri"/>
        </w:rPr>
        <w:t>Γερμανία</w:t>
      </w:r>
      <w:r w:rsidR="00974F28">
        <w:rPr>
          <w:rFonts w:ascii="Calibri" w:hAnsi="Calibri" w:cs="Calibri"/>
        </w:rPr>
        <w:t xml:space="preserve"> </w:t>
      </w:r>
      <w:r w:rsidRPr="00C2759E">
        <w:rPr>
          <w:rFonts w:ascii="Calibri" w:hAnsi="Calibri" w:cs="Calibri"/>
        </w:rPr>
        <w:t>(</w:t>
      </w:r>
      <w:r w:rsidR="00115AB8">
        <w:rPr>
          <w:rFonts w:ascii="Calibri" w:hAnsi="Calibri" w:cs="Calibri"/>
        </w:rPr>
        <w:t>4</w:t>
      </w:r>
      <w:r w:rsidR="00FA28C4">
        <w:rPr>
          <w:rFonts w:ascii="Calibri" w:hAnsi="Calibri" w:cs="Calibri"/>
        </w:rPr>
        <w:t>9,8</w:t>
      </w:r>
      <w:r w:rsidR="00115AB8">
        <w:rPr>
          <w:rFonts w:ascii="Calibri" w:hAnsi="Calibri" w:cs="Calibri"/>
        </w:rPr>
        <w:t xml:space="preserve"> εκ. ευρώ και </w:t>
      </w:r>
      <w:r w:rsidRPr="00C2759E">
        <w:rPr>
          <w:rFonts w:ascii="Calibri" w:hAnsi="Calibri" w:cs="Calibri"/>
        </w:rPr>
        <w:t xml:space="preserve">μερίδιο </w:t>
      </w:r>
      <w:r w:rsidR="00FA28C4">
        <w:rPr>
          <w:rFonts w:ascii="Calibri" w:hAnsi="Calibri" w:cs="Calibri"/>
        </w:rPr>
        <w:t>19</w:t>
      </w:r>
      <w:r w:rsidRPr="00C2759E">
        <w:rPr>
          <w:rFonts w:ascii="Calibri" w:hAnsi="Calibri" w:cs="Calibri"/>
        </w:rPr>
        <w:t xml:space="preserve">%), η </w:t>
      </w:r>
      <w:r w:rsidR="00FA28C4">
        <w:rPr>
          <w:rFonts w:ascii="Calibri" w:hAnsi="Calibri" w:cs="Calibri"/>
        </w:rPr>
        <w:t>Ιταλία</w:t>
      </w:r>
      <w:r w:rsidRPr="00C2759E">
        <w:rPr>
          <w:rFonts w:ascii="Calibri" w:hAnsi="Calibri" w:cs="Calibri"/>
        </w:rPr>
        <w:t xml:space="preserve"> (</w:t>
      </w:r>
      <w:r w:rsidR="00FA28C4">
        <w:rPr>
          <w:rFonts w:ascii="Calibri" w:hAnsi="Calibri" w:cs="Calibri"/>
        </w:rPr>
        <w:t>47,2</w:t>
      </w:r>
      <w:r w:rsidR="00115AB8">
        <w:rPr>
          <w:rFonts w:ascii="Calibri" w:hAnsi="Calibri" w:cs="Calibri"/>
        </w:rPr>
        <w:t xml:space="preserve"> εκ. ευρώ και μερίδιο </w:t>
      </w:r>
      <w:r w:rsidR="00FA28C4">
        <w:rPr>
          <w:rFonts w:ascii="Calibri" w:hAnsi="Calibri" w:cs="Calibri"/>
        </w:rPr>
        <w:t>18</w:t>
      </w:r>
      <w:r w:rsidRPr="00C2759E">
        <w:rPr>
          <w:rFonts w:ascii="Calibri" w:hAnsi="Calibri" w:cs="Calibri"/>
        </w:rPr>
        <w:t xml:space="preserve">%), η </w:t>
      </w:r>
      <w:r w:rsidR="00FA28C4">
        <w:rPr>
          <w:rFonts w:ascii="Calibri" w:hAnsi="Calibri" w:cs="Calibri"/>
        </w:rPr>
        <w:t>Γαλλία</w:t>
      </w:r>
      <w:r w:rsidRPr="00C2759E">
        <w:rPr>
          <w:rFonts w:ascii="Calibri" w:hAnsi="Calibri" w:cs="Calibri"/>
        </w:rPr>
        <w:t xml:space="preserve"> (</w:t>
      </w:r>
      <w:r w:rsidR="00FA28C4">
        <w:rPr>
          <w:rFonts w:ascii="Calibri" w:hAnsi="Calibri" w:cs="Calibri"/>
        </w:rPr>
        <w:t>17</w:t>
      </w:r>
      <w:r w:rsidR="00115AB8">
        <w:rPr>
          <w:rFonts w:ascii="Calibri" w:hAnsi="Calibri" w:cs="Calibri"/>
        </w:rPr>
        <w:t xml:space="preserve">,3 εκ. ευρώ, μερίδιο </w:t>
      </w:r>
      <w:r w:rsidR="00FA28C4">
        <w:rPr>
          <w:rFonts w:ascii="Calibri" w:hAnsi="Calibri" w:cs="Calibri"/>
        </w:rPr>
        <w:t>6,6</w:t>
      </w:r>
      <w:r w:rsidRPr="00C2759E">
        <w:rPr>
          <w:rFonts w:ascii="Calibri" w:hAnsi="Calibri" w:cs="Calibri"/>
        </w:rPr>
        <w:t xml:space="preserve">%), </w:t>
      </w:r>
      <w:r w:rsidR="00FA28C4">
        <w:rPr>
          <w:rFonts w:ascii="Calibri" w:hAnsi="Calibri" w:cs="Calibri"/>
        </w:rPr>
        <w:t>η Πολωνία</w:t>
      </w:r>
      <w:r w:rsidR="00CF5D50">
        <w:rPr>
          <w:rFonts w:ascii="Calibri" w:hAnsi="Calibri" w:cs="Calibri"/>
        </w:rPr>
        <w:t xml:space="preserve"> </w:t>
      </w:r>
      <w:r w:rsidRPr="00C2759E">
        <w:rPr>
          <w:rFonts w:ascii="Calibri" w:hAnsi="Calibri" w:cs="Calibri"/>
        </w:rPr>
        <w:t>(</w:t>
      </w:r>
      <w:r w:rsidR="00FA28C4">
        <w:rPr>
          <w:rFonts w:ascii="Calibri" w:hAnsi="Calibri" w:cs="Calibri"/>
        </w:rPr>
        <w:t>19,8</w:t>
      </w:r>
      <w:r w:rsidR="00115AB8">
        <w:rPr>
          <w:rFonts w:ascii="Calibri" w:hAnsi="Calibri" w:cs="Calibri"/>
        </w:rPr>
        <w:t xml:space="preserve"> εκ. ευρώ, μερίδιο </w:t>
      </w:r>
      <w:r w:rsidR="00FA28C4">
        <w:rPr>
          <w:rFonts w:ascii="Calibri" w:hAnsi="Calibri" w:cs="Calibri"/>
        </w:rPr>
        <w:t>5,3</w:t>
      </w:r>
      <w:r w:rsidRPr="00C2759E">
        <w:rPr>
          <w:rFonts w:ascii="Calibri" w:hAnsi="Calibri" w:cs="Calibri"/>
        </w:rPr>
        <w:t xml:space="preserve">%) και η </w:t>
      </w:r>
      <w:r w:rsidR="0057270F">
        <w:rPr>
          <w:rFonts w:ascii="Calibri" w:hAnsi="Calibri" w:cs="Calibri"/>
        </w:rPr>
        <w:t>Ολλανδία</w:t>
      </w:r>
      <w:r w:rsidRPr="00C2759E">
        <w:rPr>
          <w:rFonts w:ascii="Calibri" w:hAnsi="Calibri" w:cs="Calibri"/>
        </w:rPr>
        <w:t xml:space="preserve"> (</w:t>
      </w:r>
      <w:r w:rsidR="0057270F">
        <w:rPr>
          <w:rFonts w:ascii="Calibri" w:hAnsi="Calibri" w:cs="Calibri"/>
        </w:rPr>
        <w:t>12,9</w:t>
      </w:r>
      <w:r w:rsidR="00115AB8">
        <w:rPr>
          <w:rFonts w:ascii="Calibri" w:hAnsi="Calibri" w:cs="Calibri"/>
        </w:rPr>
        <w:t xml:space="preserve"> εκ. ευρώ και μερίδιο </w:t>
      </w:r>
      <w:r w:rsidR="0057270F">
        <w:rPr>
          <w:rFonts w:ascii="Calibri" w:hAnsi="Calibri" w:cs="Calibri"/>
        </w:rPr>
        <w:t>4,9</w:t>
      </w:r>
      <w:r w:rsidRPr="00C2759E">
        <w:rPr>
          <w:rFonts w:ascii="Calibri" w:hAnsi="Calibri" w:cs="Calibri"/>
        </w:rPr>
        <w:t xml:space="preserve">%). Τη δεκάδα των κυριότερων αγοραστών κλείνουν </w:t>
      </w:r>
      <w:r w:rsidR="0057270F">
        <w:rPr>
          <w:rFonts w:ascii="Calibri" w:hAnsi="Calibri" w:cs="Calibri"/>
        </w:rPr>
        <w:t>οι Η.Π.Α.</w:t>
      </w:r>
      <w:r w:rsidR="00CF5D50">
        <w:rPr>
          <w:rFonts w:ascii="Calibri" w:hAnsi="Calibri" w:cs="Calibri"/>
        </w:rPr>
        <w:t xml:space="preserve">, η </w:t>
      </w:r>
      <w:r w:rsidR="0057270F">
        <w:rPr>
          <w:rFonts w:ascii="Calibri" w:hAnsi="Calibri" w:cs="Calibri"/>
        </w:rPr>
        <w:t>Ισπανία</w:t>
      </w:r>
      <w:r w:rsidR="00974F28">
        <w:rPr>
          <w:rFonts w:ascii="Calibri" w:hAnsi="Calibri" w:cs="Calibri"/>
        </w:rPr>
        <w:t xml:space="preserve">, </w:t>
      </w:r>
      <w:r w:rsidR="00CF5D50">
        <w:rPr>
          <w:rFonts w:ascii="Calibri" w:hAnsi="Calibri" w:cs="Calibri"/>
        </w:rPr>
        <w:t xml:space="preserve">η Ρουμανία, </w:t>
      </w:r>
      <w:r w:rsidR="0057270F">
        <w:rPr>
          <w:rFonts w:ascii="Calibri" w:hAnsi="Calibri" w:cs="Calibri"/>
        </w:rPr>
        <w:t>η Βουλγαρία</w:t>
      </w:r>
      <w:r w:rsidR="00CF5D50">
        <w:rPr>
          <w:rFonts w:ascii="Calibri" w:hAnsi="Calibri" w:cs="Calibri"/>
        </w:rPr>
        <w:t xml:space="preserve"> και η </w:t>
      </w:r>
      <w:r w:rsidR="0057270F">
        <w:rPr>
          <w:rFonts w:ascii="Calibri" w:hAnsi="Calibri" w:cs="Calibri"/>
        </w:rPr>
        <w:t>Αυστρία</w:t>
      </w:r>
      <w:r w:rsidR="00974F28">
        <w:rPr>
          <w:rFonts w:ascii="Calibri" w:hAnsi="Calibri" w:cs="Calibri"/>
        </w:rPr>
        <w:t>.</w:t>
      </w:r>
      <w:r w:rsidRPr="00C2759E">
        <w:rPr>
          <w:rFonts w:ascii="Calibri" w:hAnsi="Calibri" w:cs="Calibri"/>
        </w:rPr>
        <w:t xml:space="preserve"> </w:t>
      </w:r>
    </w:p>
    <w:p w14:paraId="244FA1B9" w14:textId="7490CD63" w:rsidR="002F2050" w:rsidRDefault="002F2050" w:rsidP="002F2050">
      <w:pPr>
        <w:jc w:val="both"/>
        <w:rPr>
          <w:rFonts w:ascii="Calibri" w:hAnsi="Calibri" w:cs="Calibri"/>
        </w:rPr>
      </w:pPr>
      <w:r>
        <w:t xml:space="preserve">Για τον κλάδο των Τροφίμων &amp; Ποτών, τους κυριότερους αγοραστές αποτελούν </w:t>
      </w:r>
      <w:r w:rsidRPr="00C2759E">
        <w:rPr>
          <w:rFonts w:ascii="Calibri" w:hAnsi="Calibri" w:cs="Calibri"/>
        </w:rPr>
        <w:t xml:space="preserve">η </w:t>
      </w:r>
      <w:r>
        <w:rPr>
          <w:rFonts w:ascii="Calibri" w:hAnsi="Calibri" w:cs="Calibri"/>
        </w:rPr>
        <w:t xml:space="preserve">Ιταλία </w:t>
      </w:r>
      <w:r w:rsidRPr="00C2759E">
        <w:rPr>
          <w:rFonts w:ascii="Calibri" w:hAnsi="Calibri" w:cs="Calibri"/>
        </w:rPr>
        <w:t xml:space="preserve">(μερίδιο </w:t>
      </w:r>
      <w:r w:rsidR="00BC175E">
        <w:rPr>
          <w:rFonts w:ascii="Calibri" w:hAnsi="Calibri" w:cs="Calibri"/>
        </w:rPr>
        <w:t>26,1</w:t>
      </w:r>
      <w:r w:rsidRPr="00C2759E">
        <w:rPr>
          <w:rFonts w:ascii="Calibri" w:hAnsi="Calibri" w:cs="Calibri"/>
        </w:rPr>
        <w:t xml:space="preserve">%), η </w:t>
      </w:r>
      <w:r>
        <w:rPr>
          <w:rFonts w:ascii="Calibri" w:hAnsi="Calibri" w:cs="Calibri"/>
        </w:rPr>
        <w:t>Γερμανία</w:t>
      </w:r>
      <w:r w:rsidRPr="00C2759E">
        <w:rPr>
          <w:rFonts w:ascii="Calibri" w:hAnsi="Calibri" w:cs="Calibri"/>
        </w:rPr>
        <w:t xml:space="preserve"> </w:t>
      </w:r>
      <w:r w:rsidR="00BC175E">
        <w:rPr>
          <w:rFonts w:ascii="Calibri" w:hAnsi="Calibri" w:cs="Calibri"/>
        </w:rPr>
        <w:t>23,1</w:t>
      </w:r>
      <w:r w:rsidRPr="00C2759E">
        <w:rPr>
          <w:rFonts w:ascii="Calibri" w:hAnsi="Calibri" w:cs="Calibri"/>
        </w:rPr>
        <w:t xml:space="preserve">%), η </w:t>
      </w:r>
      <w:r w:rsidR="00BC175E">
        <w:rPr>
          <w:rFonts w:ascii="Calibri" w:hAnsi="Calibri" w:cs="Calibri"/>
        </w:rPr>
        <w:t>Πολωνία</w:t>
      </w:r>
      <w:r>
        <w:rPr>
          <w:rFonts w:ascii="Calibri" w:hAnsi="Calibri" w:cs="Calibri"/>
        </w:rPr>
        <w:t xml:space="preserve"> </w:t>
      </w:r>
      <w:r w:rsidRPr="00C2759E">
        <w:rPr>
          <w:rFonts w:ascii="Calibri" w:hAnsi="Calibri" w:cs="Calibri"/>
        </w:rPr>
        <w:t>(</w:t>
      </w:r>
      <w:r w:rsidR="00BC175E">
        <w:rPr>
          <w:rFonts w:ascii="Calibri" w:hAnsi="Calibri" w:cs="Calibri"/>
        </w:rPr>
        <w:t>6,2</w:t>
      </w:r>
      <w:r w:rsidRPr="00C2759E">
        <w:rPr>
          <w:rFonts w:ascii="Calibri" w:hAnsi="Calibri" w:cs="Calibri"/>
        </w:rPr>
        <w:t xml:space="preserve">%), </w:t>
      </w:r>
      <w:r w:rsidR="00BC175E">
        <w:rPr>
          <w:rFonts w:ascii="Calibri" w:hAnsi="Calibri" w:cs="Calibri"/>
        </w:rPr>
        <w:t xml:space="preserve">η Ισπανία (4,6%) και η Βουλγαρία (4,5%). Ακολουθούν η Αυστρία, η Ρουμανία, οι Η.Π.Α. η Κύπρος και η Ολλανδία. </w:t>
      </w:r>
      <w:r>
        <w:rPr>
          <w:rFonts w:ascii="Calibri" w:hAnsi="Calibri" w:cs="Calibri"/>
        </w:rPr>
        <w:t xml:space="preserve"> </w:t>
      </w:r>
    </w:p>
    <w:tbl>
      <w:tblPr>
        <w:tblStyle w:val="5-2"/>
        <w:tblW w:w="6680" w:type="dxa"/>
        <w:jc w:val="center"/>
        <w:tblLook w:val="04A0" w:firstRow="1" w:lastRow="0" w:firstColumn="1" w:lastColumn="0" w:noHBand="0" w:noVBand="1"/>
      </w:tblPr>
      <w:tblGrid>
        <w:gridCol w:w="4183"/>
        <w:gridCol w:w="1346"/>
        <w:gridCol w:w="1151"/>
      </w:tblGrid>
      <w:tr w:rsidR="00BC175E" w:rsidRPr="00BC175E" w14:paraId="14D27F78" w14:textId="77777777" w:rsidTr="00BC17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3" w:type="dxa"/>
            <w:noWrap/>
            <w:hideMark/>
          </w:tcPr>
          <w:p w14:paraId="7C0AF2B3" w14:textId="0EA9F4E5" w:rsidR="00BC175E" w:rsidRPr="00BC175E" w:rsidRDefault="00C42ED4" w:rsidP="00BC175E">
            <w:pPr>
              <w:spacing w:after="0" w:line="240" w:lineRule="auto"/>
              <w:rPr>
                <w:rFonts w:ascii="Calibri" w:eastAsia="Times New Roman" w:hAnsi="Calibri" w:cs="Calibri"/>
                <w:lang w:val="en-US"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Κυριότερες αγορές Τροφίμων - Ποτών</w:t>
            </w:r>
          </w:p>
        </w:tc>
        <w:tc>
          <w:tcPr>
            <w:tcW w:w="1346" w:type="dxa"/>
            <w:noWrap/>
            <w:hideMark/>
          </w:tcPr>
          <w:p w14:paraId="4B0DC3E6" w14:textId="77777777" w:rsidR="00BC175E" w:rsidRPr="00BC175E" w:rsidRDefault="00BC175E" w:rsidP="00BC175E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l-GR"/>
              </w:rPr>
            </w:pPr>
            <w:r w:rsidRPr="00BC175E">
              <w:rPr>
                <w:rFonts w:ascii="Calibri" w:eastAsia="Times New Roman" w:hAnsi="Calibri" w:cs="Calibri"/>
                <w:lang w:eastAsia="el-GR"/>
              </w:rPr>
              <w:t>ΜΕΡΙΔΙΟ %</w:t>
            </w:r>
          </w:p>
        </w:tc>
        <w:tc>
          <w:tcPr>
            <w:tcW w:w="1151" w:type="dxa"/>
            <w:noWrap/>
            <w:hideMark/>
          </w:tcPr>
          <w:p w14:paraId="6A212698" w14:textId="77777777" w:rsidR="00BC175E" w:rsidRPr="00BC175E" w:rsidRDefault="00BC175E" w:rsidP="00BC175E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l-GR"/>
              </w:rPr>
            </w:pPr>
            <w:r w:rsidRPr="00BC175E">
              <w:rPr>
                <w:rFonts w:ascii="Calibri" w:eastAsia="Times New Roman" w:hAnsi="Calibri" w:cs="Calibri"/>
                <w:lang w:eastAsia="el-GR"/>
              </w:rPr>
              <w:t>ΕΚ. ΕΥΡΩ</w:t>
            </w:r>
          </w:p>
        </w:tc>
      </w:tr>
      <w:tr w:rsidR="00BC175E" w:rsidRPr="00BC175E" w14:paraId="47C840C1" w14:textId="77777777" w:rsidTr="00BC17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3" w:type="dxa"/>
            <w:noWrap/>
            <w:hideMark/>
          </w:tcPr>
          <w:p w14:paraId="6A70E7CC" w14:textId="77777777" w:rsidR="00BC175E" w:rsidRPr="00BC175E" w:rsidRDefault="00BC175E" w:rsidP="00BC175E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C175E">
              <w:rPr>
                <w:rFonts w:ascii="Calibri" w:eastAsia="Times New Roman" w:hAnsi="Calibri" w:cs="Calibri"/>
                <w:lang w:eastAsia="el-GR"/>
              </w:rPr>
              <w:t>Ιταλία</w:t>
            </w:r>
          </w:p>
        </w:tc>
        <w:tc>
          <w:tcPr>
            <w:tcW w:w="1346" w:type="dxa"/>
            <w:noWrap/>
            <w:hideMark/>
          </w:tcPr>
          <w:p w14:paraId="087968B6" w14:textId="0A387018" w:rsidR="00BC175E" w:rsidRPr="00BC175E" w:rsidRDefault="00BC175E" w:rsidP="00BC175E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l-GR"/>
              </w:rPr>
            </w:pPr>
            <w:r w:rsidRPr="00BC175E">
              <w:rPr>
                <w:rFonts w:ascii="Calibri" w:eastAsia="Times New Roman" w:hAnsi="Calibri" w:cs="Calibri"/>
                <w:lang w:eastAsia="el-GR"/>
              </w:rPr>
              <w:t>26,1</w:t>
            </w:r>
          </w:p>
        </w:tc>
        <w:tc>
          <w:tcPr>
            <w:tcW w:w="1151" w:type="dxa"/>
            <w:noWrap/>
            <w:hideMark/>
          </w:tcPr>
          <w:p w14:paraId="34B2BB4D" w14:textId="77777777" w:rsidR="00BC175E" w:rsidRPr="00BC175E" w:rsidRDefault="00BC175E" w:rsidP="00BC175E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l-GR"/>
              </w:rPr>
            </w:pPr>
            <w:r w:rsidRPr="00BC175E">
              <w:rPr>
                <w:rFonts w:ascii="Calibri" w:eastAsia="Times New Roman" w:hAnsi="Calibri" w:cs="Calibri"/>
                <w:lang w:eastAsia="el-GR"/>
              </w:rPr>
              <w:t>40,8</w:t>
            </w:r>
          </w:p>
        </w:tc>
      </w:tr>
      <w:tr w:rsidR="00BC175E" w:rsidRPr="00BC175E" w14:paraId="58C6DA95" w14:textId="77777777" w:rsidTr="00BC175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3" w:type="dxa"/>
            <w:noWrap/>
            <w:hideMark/>
          </w:tcPr>
          <w:p w14:paraId="68690666" w14:textId="77777777" w:rsidR="00BC175E" w:rsidRPr="00BC175E" w:rsidRDefault="00BC175E" w:rsidP="00BC175E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C175E">
              <w:rPr>
                <w:rFonts w:ascii="Calibri" w:eastAsia="Times New Roman" w:hAnsi="Calibri" w:cs="Calibri"/>
                <w:lang w:eastAsia="el-GR"/>
              </w:rPr>
              <w:t>Γερμανία</w:t>
            </w:r>
          </w:p>
        </w:tc>
        <w:tc>
          <w:tcPr>
            <w:tcW w:w="1346" w:type="dxa"/>
            <w:noWrap/>
            <w:hideMark/>
          </w:tcPr>
          <w:p w14:paraId="2027728A" w14:textId="2949BFF2" w:rsidR="00BC175E" w:rsidRPr="00BC175E" w:rsidRDefault="00BC175E" w:rsidP="00BC175E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l-GR"/>
              </w:rPr>
            </w:pPr>
            <w:r w:rsidRPr="00BC175E">
              <w:rPr>
                <w:rFonts w:ascii="Calibri" w:eastAsia="Times New Roman" w:hAnsi="Calibri" w:cs="Calibri"/>
                <w:lang w:eastAsia="el-GR"/>
              </w:rPr>
              <w:t>23,</w:t>
            </w:r>
            <w:r>
              <w:rPr>
                <w:rFonts w:ascii="Calibri" w:eastAsia="Times New Roman" w:hAnsi="Calibri" w:cs="Calibri"/>
                <w:lang w:eastAsia="el-GR"/>
              </w:rPr>
              <w:t>1</w:t>
            </w:r>
          </w:p>
        </w:tc>
        <w:tc>
          <w:tcPr>
            <w:tcW w:w="1151" w:type="dxa"/>
            <w:noWrap/>
            <w:hideMark/>
          </w:tcPr>
          <w:p w14:paraId="2461D8CC" w14:textId="77777777" w:rsidR="00BC175E" w:rsidRPr="00BC175E" w:rsidRDefault="00BC175E" w:rsidP="00BC175E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l-GR"/>
              </w:rPr>
            </w:pPr>
            <w:r w:rsidRPr="00BC175E">
              <w:rPr>
                <w:rFonts w:ascii="Calibri" w:eastAsia="Times New Roman" w:hAnsi="Calibri" w:cs="Calibri"/>
                <w:lang w:eastAsia="el-GR"/>
              </w:rPr>
              <w:t>36</w:t>
            </w:r>
          </w:p>
        </w:tc>
      </w:tr>
      <w:tr w:rsidR="00BC175E" w:rsidRPr="00BC175E" w14:paraId="23C203F6" w14:textId="77777777" w:rsidTr="00BC17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3" w:type="dxa"/>
            <w:noWrap/>
            <w:hideMark/>
          </w:tcPr>
          <w:p w14:paraId="5FBC631D" w14:textId="77777777" w:rsidR="00BC175E" w:rsidRPr="00BC175E" w:rsidRDefault="00BC175E" w:rsidP="00BC175E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C175E">
              <w:rPr>
                <w:rFonts w:ascii="Calibri" w:eastAsia="Times New Roman" w:hAnsi="Calibri" w:cs="Calibri"/>
                <w:lang w:eastAsia="el-GR"/>
              </w:rPr>
              <w:t>Πολωνία</w:t>
            </w:r>
          </w:p>
        </w:tc>
        <w:tc>
          <w:tcPr>
            <w:tcW w:w="1346" w:type="dxa"/>
            <w:noWrap/>
            <w:hideMark/>
          </w:tcPr>
          <w:p w14:paraId="59333955" w14:textId="11E3616D" w:rsidR="00BC175E" w:rsidRPr="00BC175E" w:rsidRDefault="00BC175E" w:rsidP="00BC175E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l-GR"/>
              </w:rPr>
            </w:pPr>
            <w:r w:rsidRPr="00BC175E">
              <w:rPr>
                <w:rFonts w:ascii="Calibri" w:eastAsia="Times New Roman" w:hAnsi="Calibri" w:cs="Calibri"/>
                <w:lang w:eastAsia="el-GR"/>
              </w:rPr>
              <w:t>6,</w:t>
            </w:r>
            <w:r>
              <w:rPr>
                <w:rFonts w:ascii="Calibri" w:eastAsia="Times New Roman" w:hAnsi="Calibri" w:cs="Calibri"/>
                <w:lang w:eastAsia="el-GR"/>
              </w:rPr>
              <w:t>2</w:t>
            </w:r>
          </w:p>
        </w:tc>
        <w:tc>
          <w:tcPr>
            <w:tcW w:w="1151" w:type="dxa"/>
            <w:noWrap/>
            <w:hideMark/>
          </w:tcPr>
          <w:p w14:paraId="1D2B5E01" w14:textId="77777777" w:rsidR="00BC175E" w:rsidRPr="00BC175E" w:rsidRDefault="00BC175E" w:rsidP="00BC175E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l-GR"/>
              </w:rPr>
            </w:pPr>
            <w:r w:rsidRPr="00BC175E">
              <w:rPr>
                <w:rFonts w:ascii="Calibri" w:eastAsia="Times New Roman" w:hAnsi="Calibri" w:cs="Calibri"/>
                <w:lang w:eastAsia="el-GR"/>
              </w:rPr>
              <w:t>9,6</w:t>
            </w:r>
          </w:p>
        </w:tc>
      </w:tr>
      <w:tr w:rsidR="00BC175E" w:rsidRPr="00BC175E" w14:paraId="5A93F385" w14:textId="77777777" w:rsidTr="00BC175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3" w:type="dxa"/>
            <w:noWrap/>
            <w:hideMark/>
          </w:tcPr>
          <w:p w14:paraId="651EC5AA" w14:textId="77777777" w:rsidR="00BC175E" w:rsidRPr="00BC175E" w:rsidRDefault="00BC175E" w:rsidP="00BC175E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C175E">
              <w:rPr>
                <w:rFonts w:ascii="Calibri" w:eastAsia="Times New Roman" w:hAnsi="Calibri" w:cs="Calibri"/>
                <w:lang w:eastAsia="el-GR"/>
              </w:rPr>
              <w:t>Ισπανία</w:t>
            </w:r>
          </w:p>
        </w:tc>
        <w:tc>
          <w:tcPr>
            <w:tcW w:w="1346" w:type="dxa"/>
            <w:noWrap/>
            <w:hideMark/>
          </w:tcPr>
          <w:p w14:paraId="6891E7AB" w14:textId="764783D3" w:rsidR="00BC175E" w:rsidRPr="00BC175E" w:rsidRDefault="00BC175E" w:rsidP="00BC175E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l-GR"/>
              </w:rPr>
            </w:pPr>
            <w:r w:rsidRPr="00BC175E">
              <w:rPr>
                <w:rFonts w:ascii="Calibri" w:eastAsia="Times New Roman" w:hAnsi="Calibri" w:cs="Calibri"/>
                <w:lang w:eastAsia="el-GR"/>
              </w:rPr>
              <w:t>4,</w:t>
            </w:r>
            <w:r>
              <w:rPr>
                <w:rFonts w:ascii="Calibri" w:eastAsia="Times New Roman" w:hAnsi="Calibri" w:cs="Calibri"/>
                <w:lang w:eastAsia="el-GR"/>
              </w:rPr>
              <w:t>6</w:t>
            </w:r>
          </w:p>
        </w:tc>
        <w:tc>
          <w:tcPr>
            <w:tcW w:w="1151" w:type="dxa"/>
            <w:noWrap/>
            <w:hideMark/>
          </w:tcPr>
          <w:p w14:paraId="40716DF4" w14:textId="77777777" w:rsidR="00BC175E" w:rsidRPr="00BC175E" w:rsidRDefault="00BC175E" w:rsidP="00BC175E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l-GR"/>
              </w:rPr>
            </w:pPr>
            <w:r w:rsidRPr="00BC175E">
              <w:rPr>
                <w:rFonts w:ascii="Calibri" w:eastAsia="Times New Roman" w:hAnsi="Calibri" w:cs="Calibri"/>
                <w:lang w:eastAsia="el-GR"/>
              </w:rPr>
              <w:t>7,1</w:t>
            </w:r>
          </w:p>
        </w:tc>
      </w:tr>
      <w:tr w:rsidR="00BC175E" w:rsidRPr="00BC175E" w14:paraId="519E7198" w14:textId="77777777" w:rsidTr="00BC17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3" w:type="dxa"/>
            <w:noWrap/>
            <w:hideMark/>
          </w:tcPr>
          <w:p w14:paraId="78F212E6" w14:textId="77777777" w:rsidR="00BC175E" w:rsidRPr="00BC175E" w:rsidRDefault="00BC175E" w:rsidP="00BC175E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C175E">
              <w:rPr>
                <w:rFonts w:ascii="Calibri" w:eastAsia="Times New Roman" w:hAnsi="Calibri" w:cs="Calibri"/>
                <w:lang w:eastAsia="el-GR"/>
              </w:rPr>
              <w:t>Βουλγαρία</w:t>
            </w:r>
          </w:p>
        </w:tc>
        <w:tc>
          <w:tcPr>
            <w:tcW w:w="1346" w:type="dxa"/>
            <w:noWrap/>
            <w:hideMark/>
          </w:tcPr>
          <w:p w14:paraId="79CBFCBC" w14:textId="5B9CF6AA" w:rsidR="00BC175E" w:rsidRPr="00BC175E" w:rsidRDefault="00BC175E" w:rsidP="00BC175E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l-GR"/>
              </w:rPr>
            </w:pPr>
            <w:r w:rsidRPr="00BC175E">
              <w:rPr>
                <w:rFonts w:ascii="Calibri" w:eastAsia="Times New Roman" w:hAnsi="Calibri" w:cs="Calibri"/>
                <w:lang w:eastAsia="el-GR"/>
              </w:rPr>
              <w:t>4,</w:t>
            </w:r>
            <w:r>
              <w:rPr>
                <w:rFonts w:ascii="Calibri" w:eastAsia="Times New Roman" w:hAnsi="Calibri" w:cs="Calibri"/>
                <w:lang w:eastAsia="el-GR"/>
              </w:rPr>
              <w:t>5</w:t>
            </w:r>
          </w:p>
        </w:tc>
        <w:tc>
          <w:tcPr>
            <w:tcW w:w="1151" w:type="dxa"/>
            <w:noWrap/>
            <w:hideMark/>
          </w:tcPr>
          <w:p w14:paraId="21ABA9D1" w14:textId="77777777" w:rsidR="00BC175E" w:rsidRPr="00BC175E" w:rsidRDefault="00BC175E" w:rsidP="00BC175E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l-GR"/>
              </w:rPr>
            </w:pPr>
            <w:r w:rsidRPr="00BC175E">
              <w:rPr>
                <w:rFonts w:ascii="Calibri" w:eastAsia="Times New Roman" w:hAnsi="Calibri" w:cs="Calibri"/>
                <w:lang w:eastAsia="el-GR"/>
              </w:rPr>
              <w:t>7</w:t>
            </w:r>
          </w:p>
        </w:tc>
      </w:tr>
      <w:tr w:rsidR="00BC175E" w:rsidRPr="00BC175E" w14:paraId="24296137" w14:textId="77777777" w:rsidTr="00BC175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3" w:type="dxa"/>
            <w:noWrap/>
            <w:hideMark/>
          </w:tcPr>
          <w:p w14:paraId="4678B6AD" w14:textId="77777777" w:rsidR="00BC175E" w:rsidRPr="00BC175E" w:rsidRDefault="00BC175E" w:rsidP="00BC175E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C175E">
              <w:rPr>
                <w:rFonts w:ascii="Calibri" w:eastAsia="Times New Roman" w:hAnsi="Calibri" w:cs="Calibri"/>
                <w:lang w:eastAsia="el-GR"/>
              </w:rPr>
              <w:t>Αυστρία</w:t>
            </w:r>
          </w:p>
        </w:tc>
        <w:tc>
          <w:tcPr>
            <w:tcW w:w="1346" w:type="dxa"/>
            <w:noWrap/>
            <w:hideMark/>
          </w:tcPr>
          <w:p w14:paraId="2004D840" w14:textId="2FAFB0B3" w:rsidR="00BC175E" w:rsidRPr="00BC175E" w:rsidRDefault="00BC175E" w:rsidP="00BC175E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l-GR"/>
              </w:rPr>
            </w:pPr>
            <w:r w:rsidRPr="00BC175E">
              <w:rPr>
                <w:rFonts w:ascii="Calibri" w:eastAsia="Times New Roman" w:hAnsi="Calibri" w:cs="Calibri"/>
                <w:lang w:eastAsia="el-GR"/>
              </w:rPr>
              <w:t>4,2</w:t>
            </w:r>
          </w:p>
        </w:tc>
        <w:tc>
          <w:tcPr>
            <w:tcW w:w="1151" w:type="dxa"/>
            <w:noWrap/>
            <w:hideMark/>
          </w:tcPr>
          <w:p w14:paraId="74E8DB13" w14:textId="77777777" w:rsidR="00BC175E" w:rsidRPr="00BC175E" w:rsidRDefault="00BC175E" w:rsidP="00BC175E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l-GR"/>
              </w:rPr>
            </w:pPr>
            <w:r w:rsidRPr="00BC175E">
              <w:rPr>
                <w:rFonts w:ascii="Calibri" w:eastAsia="Times New Roman" w:hAnsi="Calibri" w:cs="Calibri"/>
                <w:lang w:eastAsia="el-GR"/>
              </w:rPr>
              <w:t>6,6</w:t>
            </w:r>
          </w:p>
        </w:tc>
      </w:tr>
      <w:tr w:rsidR="00BC175E" w:rsidRPr="00BC175E" w14:paraId="09641400" w14:textId="77777777" w:rsidTr="00BC17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3" w:type="dxa"/>
            <w:noWrap/>
            <w:hideMark/>
          </w:tcPr>
          <w:p w14:paraId="62833174" w14:textId="77777777" w:rsidR="00BC175E" w:rsidRPr="00BC175E" w:rsidRDefault="00BC175E" w:rsidP="00BC175E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C175E">
              <w:rPr>
                <w:rFonts w:ascii="Calibri" w:eastAsia="Times New Roman" w:hAnsi="Calibri" w:cs="Calibri"/>
                <w:lang w:eastAsia="el-GR"/>
              </w:rPr>
              <w:t>Ρουμανία</w:t>
            </w:r>
          </w:p>
        </w:tc>
        <w:tc>
          <w:tcPr>
            <w:tcW w:w="1346" w:type="dxa"/>
            <w:noWrap/>
            <w:hideMark/>
          </w:tcPr>
          <w:p w14:paraId="5E0D0B00" w14:textId="37151138" w:rsidR="00BC175E" w:rsidRPr="00BC175E" w:rsidRDefault="00BC175E" w:rsidP="00BC175E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l-GR"/>
              </w:rPr>
            </w:pPr>
            <w:r w:rsidRPr="00BC175E">
              <w:rPr>
                <w:rFonts w:ascii="Calibri" w:eastAsia="Times New Roman" w:hAnsi="Calibri" w:cs="Calibri"/>
                <w:lang w:eastAsia="el-GR"/>
              </w:rPr>
              <w:t>4,</w:t>
            </w:r>
            <w:r>
              <w:rPr>
                <w:rFonts w:ascii="Calibri" w:eastAsia="Times New Roman" w:hAnsi="Calibri" w:cs="Calibri"/>
                <w:lang w:eastAsia="el-GR"/>
              </w:rPr>
              <w:t>1</w:t>
            </w:r>
          </w:p>
        </w:tc>
        <w:tc>
          <w:tcPr>
            <w:tcW w:w="1151" w:type="dxa"/>
            <w:noWrap/>
            <w:hideMark/>
          </w:tcPr>
          <w:p w14:paraId="356BF35D" w14:textId="77777777" w:rsidR="00BC175E" w:rsidRPr="00BC175E" w:rsidRDefault="00BC175E" w:rsidP="00BC175E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l-GR"/>
              </w:rPr>
            </w:pPr>
            <w:r w:rsidRPr="00BC175E">
              <w:rPr>
                <w:rFonts w:ascii="Calibri" w:eastAsia="Times New Roman" w:hAnsi="Calibri" w:cs="Calibri"/>
                <w:lang w:eastAsia="el-GR"/>
              </w:rPr>
              <w:t>6,5</w:t>
            </w:r>
          </w:p>
        </w:tc>
      </w:tr>
      <w:tr w:rsidR="00BC175E" w:rsidRPr="00BC175E" w14:paraId="1BFC1D01" w14:textId="77777777" w:rsidTr="00BC175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3" w:type="dxa"/>
            <w:noWrap/>
            <w:hideMark/>
          </w:tcPr>
          <w:p w14:paraId="5F5FF5FA" w14:textId="77777777" w:rsidR="00BC175E" w:rsidRPr="00BC175E" w:rsidRDefault="00BC175E" w:rsidP="00BC175E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C175E">
              <w:rPr>
                <w:rFonts w:ascii="Calibri" w:eastAsia="Times New Roman" w:hAnsi="Calibri" w:cs="Calibri"/>
                <w:lang w:eastAsia="el-GR"/>
              </w:rPr>
              <w:t>Η.Π.Α.</w:t>
            </w:r>
          </w:p>
        </w:tc>
        <w:tc>
          <w:tcPr>
            <w:tcW w:w="1346" w:type="dxa"/>
            <w:noWrap/>
            <w:hideMark/>
          </w:tcPr>
          <w:p w14:paraId="7F6C5793" w14:textId="3E426A82" w:rsidR="00BC175E" w:rsidRPr="00BC175E" w:rsidRDefault="00BC175E" w:rsidP="00BC175E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l-GR"/>
              </w:rPr>
            </w:pPr>
            <w:r w:rsidRPr="00BC175E">
              <w:rPr>
                <w:rFonts w:ascii="Calibri" w:eastAsia="Times New Roman" w:hAnsi="Calibri" w:cs="Calibri"/>
                <w:lang w:eastAsia="el-GR"/>
              </w:rPr>
              <w:t>3,9</w:t>
            </w:r>
          </w:p>
        </w:tc>
        <w:tc>
          <w:tcPr>
            <w:tcW w:w="1151" w:type="dxa"/>
            <w:noWrap/>
            <w:hideMark/>
          </w:tcPr>
          <w:p w14:paraId="7A68A7D9" w14:textId="77777777" w:rsidR="00BC175E" w:rsidRPr="00BC175E" w:rsidRDefault="00BC175E" w:rsidP="00BC175E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l-GR"/>
              </w:rPr>
            </w:pPr>
            <w:r w:rsidRPr="00BC175E">
              <w:rPr>
                <w:rFonts w:ascii="Calibri" w:eastAsia="Times New Roman" w:hAnsi="Calibri" w:cs="Calibri"/>
                <w:lang w:eastAsia="el-GR"/>
              </w:rPr>
              <w:t>6,1</w:t>
            </w:r>
          </w:p>
        </w:tc>
      </w:tr>
      <w:tr w:rsidR="00BC175E" w:rsidRPr="00BC175E" w14:paraId="3DE1C586" w14:textId="77777777" w:rsidTr="00BC17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3" w:type="dxa"/>
            <w:noWrap/>
            <w:hideMark/>
          </w:tcPr>
          <w:p w14:paraId="31F17BDE" w14:textId="77777777" w:rsidR="00BC175E" w:rsidRPr="00BC175E" w:rsidRDefault="00BC175E" w:rsidP="00BC175E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C175E">
              <w:rPr>
                <w:rFonts w:ascii="Calibri" w:eastAsia="Times New Roman" w:hAnsi="Calibri" w:cs="Calibri"/>
                <w:lang w:eastAsia="el-GR"/>
              </w:rPr>
              <w:t>Κύπρος</w:t>
            </w:r>
          </w:p>
        </w:tc>
        <w:tc>
          <w:tcPr>
            <w:tcW w:w="1346" w:type="dxa"/>
            <w:noWrap/>
            <w:hideMark/>
          </w:tcPr>
          <w:p w14:paraId="1829B896" w14:textId="14FCDCEA" w:rsidR="00BC175E" w:rsidRPr="00BC175E" w:rsidRDefault="00BC175E" w:rsidP="00BC175E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l-GR"/>
              </w:rPr>
            </w:pPr>
            <w:r w:rsidRPr="00BC175E">
              <w:rPr>
                <w:rFonts w:ascii="Calibri" w:eastAsia="Times New Roman" w:hAnsi="Calibri" w:cs="Calibri"/>
                <w:lang w:eastAsia="el-GR"/>
              </w:rPr>
              <w:t>3,5</w:t>
            </w:r>
          </w:p>
        </w:tc>
        <w:tc>
          <w:tcPr>
            <w:tcW w:w="1151" w:type="dxa"/>
            <w:noWrap/>
            <w:hideMark/>
          </w:tcPr>
          <w:p w14:paraId="139B0A2B" w14:textId="77777777" w:rsidR="00BC175E" w:rsidRPr="00BC175E" w:rsidRDefault="00BC175E" w:rsidP="00BC175E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l-GR"/>
              </w:rPr>
            </w:pPr>
            <w:r w:rsidRPr="00BC175E">
              <w:rPr>
                <w:rFonts w:ascii="Calibri" w:eastAsia="Times New Roman" w:hAnsi="Calibri" w:cs="Calibri"/>
                <w:lang w:eastAsia="el-GR"/>
              </w:rPr>
              <w:t>5,5</w:t>
            </w:r>
          </w:p>
        </w:tc>
      </w:tr>
      <w:tr w:rsidR="00BC175E" w:rsidRPr="00BC175E" w14:paraId="39313E5C" w14:textId="77777777" w:rsidTr="00BC175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3" w:type="dxa"/>
            <w:noWrap/>
            <w:hideMark/>
          </w:tcPr>
          <w:p w14:paraId="19637E79" w14:textId="77777777" w:rsidR="00BC175E" w:rsidRPr="00BC175E" w:rsidRDefault="00BC175E" w:rsidP="00BC175E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C175E">
              <w:rPr>
                <w:rFonts w:ascii="Calibri" w:eastAsia="Times New Roman" w:hAnsi="Calibri" w:cs="Calibri"/>
                <w:lang w:eastAsia="el-GR"/>
              </w:rPr>
              <w:t>Ολλανδία</w:t>
            </w:r>
          </w:p>
        </w:tc>
        <w:tc>
          <w:tcPr>
            <w:tcW w:w="1346" w:type="dxa"/>
            <w:noWrap/>
            <w:hideMark/>
          </w:tcPr>
          <w:p w14:paraId="18F7A4CD" w14:textId="576626BF" w:rsidR="00BC175E" w:rsidRPr="00BC175E" w:rsidRDefault="00BC175E" w:rsidP="00BC175E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l-GR"/>
              </w:rPr>
            </w:pPr>
            <w:r w:rsidRPr="00BC175E">
              <w:rPr>
                <w:rFonts w:ascii="Calibri" w:eastAsia="Times New Roman" w:hAnsi="Calibri" w:cs="Calibri"/>
                <w:lang w:eastAsia="el-GR"/>
              </w:rPr>
              <w:t>2,</w:t>
            </w:r>
            <w:r>
              <w:rPr>
                <w:rFonts w:ascii="Calibri" w:eastAsia="Times New Roman" w:hAnsi="Calibri" w:cs="Calibri"/>
                <w:lang w:eastAsia="el-GR"/>
              </w:rPr>
              <w:t>9</w:t>
            </w:r>
          </w:p>
        </w:tc>
        <w:tc>
          <w:tcPr>
            <w:tcW w:w="1151" w:type="dxa"/>
            <w:noWrap/>
            <w:hideMark/>
          </w:tcPr>
          <w:p w14:paraId="6F7A12D4" w14:textId="77777777" w:rsidR="00BC175E" w:rsidRPr="00BC175E" w:rsidRDefault="00BC175E" w:rsidP="00BC175E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l-GR"/>
              </w:rPr>
            </w:pPr>
            <w:r w:rsidRPr="00BC175E">
              <w:rPr>
                <w:rFonts w:ascii="Calibri" w:eastAsia="Times New Roman" w:hAnsi="Calibri" w:cs="Calibri"/>
                <w:lang w:eastAsia="el-GR"/>
              </w:rPr>
              <w:t>4,5</w:t>
            </w:r>
          </w:p>
        </w:tc>
      </w:tr>
    </w:tbl>
    <w:p w14:paraId="0F0BEB37" w14:textId="77777777" w:rsidR="00BC175E" w:rsidRDefault="00BC175E" w:rsidP="002F2050">
      <w:pPr>
        <w:jc w:val="both"/>
      </w:pPr>
    </w:p>
    <w:p w14:paraId="44999B6C" w14:textId="77777777" w:rsidR="002F2050" w:rsidRDefault="002F2050" w:rsidP="002F2050">
      <w:pPr>
        <w:jc w:val="both"/>
      </w:pPr>
      <w:r>
        <w:t xml:space="preserve">Στις αγορές του κρητικού ελαιολάδου πρώτη έρχεται η Ιταλία με 40,2 εκ. ευρώ, δεύτερη η Γερμανία με 25,8 εκ. ευρώ και ακολουθούν η Ισπανία, οι Η.Π.Α. και η Γαλλία. </w:t>
      </w:r>
    </w:p>
    <w:tbl>
      <w:tblPr>
        <w:tblStyle w:val="5-2"/>
        <w:tblW w:w="8296" w:type="dxa"/>
        <w:jc w:val="center"/>
        <w:tblLook w:val="04A0" w:firstRow="1" w:lastRow="0" w:firstColumn="1" w:lastColumn="0" w:noHBand="0" w:noVBand="1"/>
      </w:tblPr>
      <w:tblGrid>
        <w:gridCol w:w="3228"/>
        <w:gridCol w:w="1323"/>
        <w:gridCol w:w="1127"/>
        <w:gridCol w:w="1280"/>
        <w:gridCol w:w="1338"/>
      </w:tblGrid>
      <w:tr w:rsidR="002F2050" w:rsidRPr="00016D32" w14:paraId="08D5D4BC" w14:textId="77777777" w:rsidTr="001B08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8" w:type="dxa"/>
            <w:noWrap/>
            <w:hideMark/>
          </w:tcPr>
          <w:p w14:paraId="53EC6A48" w14:textId="77777777" w:rsidR="002F2050" w:rsidRPr="00016D32" w:rsidRDefault="002F2050" w:rsidP="001B0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CA7741">
              <w:rPr>
                <w:rFonts w:ascii="Calibri" w:eastAsia="Times New Roman" w:hAnsi="Calibri" w:cs="Calibri"/>
                <w:lang w:eastAsia="el-GR"/>
              </w:rPr>
              <w:t>Κυριότερες αγορές ελαιολάδου</w:t>
            </w:r>
          </w:p>
        </w:tc>
        <w:tc>
          <w:tcPr>
            <w:tcW w:w="1323" w:type="dxa"/>
            <w:noWrap/>
            <w:hideMark/>
          </w:tcPr>
          <w:p w14:paraId="2FB62326" w14:textId="77777777" w:rsidR="002F2050" w:rsidRPr="00016D32" w:rsidRDefault="002F2050" w:rsidP="001B085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l-GR"/>
              </w:rPr>
            </w:pPr>
            <w:r w:rsidRPr="00016D32">
              <w:rPr>
                <w:rFonts w:ascii="Calibri" w:eastAsia="Times New Roman" w:hAnsi="Calibri" w:cs="Calibri"/>
                <w:lang w:eastAsia="el-GR"/>
              </w:rPr>
              <w:t>ΜΕΡΙΔΙΟ %</w:t>
            </w:r>
          </w:p>
        </w:tc>
        <w:tc>
          <w:tcPr>
            <w:tcW w:w="1127" w:type="dxa"/>
            <w:noWrap/>
            <w:hideMark/>
          </w:tcPr>
          <w:p w14:paraId="796F3E38" w14:textId="77777777" w:rsidR="002F2050" w:rsidRPr="00016D32" w:rsidRDefault="002F2050" w:rsidP="001B085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l-GR"/>
              </w:rPr>
            </w:pPr>
            <w:r w:rsidRPr="00016D32">
              <w:rPr>
                <w:rFonts w:ascii="Calibri" w:eastAsia="Times New Roman" w:hAnsi="Calibri" w:cs="Calibri"/>
                <w:lang w:eastAsia="el-GR"/>
              </w:rPr>
              <w:t>ΕΚ. ΕΥΡΩ</w:t>
            </w:r>
          </w:p>
        </w:tc>
        <w:tc>
          <w:tcPr>
            <w:tcW w:w="1280" w:type="dxa"/>
          </w:tcPr>
          <w:p w14:paraId="3BB2ED3E" w14:textId="77777777" w:rsidR="002F2050" w:rsidRDefault="002F2050" w:rsidP="001B085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ΤΟΝΟΙ</w:t>
            </w:r>
          </w:p>
        </w:tc>
        <w:tc>
          <w:tcPr>
            <w:tcW w:w="1338" w:type="dxa"/>
          </w:tcPr>
          <w:p w14:paraId="5A4449F3" w14:textId="77777777" w:rsidR="002F2050" w:rsidRPr="00016D32" w:rsidRDefault="002F2050" w:rsidP="001B085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ΜΕΣΗ ΤΙΜΗ</w:t>
            </w:r>
          </w:p>
        </w:tc>
      </w:tr>
      <w:tr w:rsidR="002F2050" w:rsidRPr="00016D32" w14:paraId="29B4DC6A" w14:textId="77777777" w:rsidTr="001B0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8" w:type="dxa"/>
            <w:noWrap/>
            <w:hideMark/>
          </w:tcPr>
          <w:p w14:paraId="0E4EE187" w14:textId="77777777" w:rsidR="002F2050" w:rsidRPr="00016D32" w:rsidRDefault="002F2050" w:rsidP="001B0859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016D32">
              <w:rPr>
                <w:rFonts w:ascii="Calibri" w:eastAsia="Times New Roman" w:hAnsi="Calibri" w:cs="Calibri"/>
                <w:lang w:eastAsia="el-GR"/>
              </w:rPr>
              <w:t>Ιταλία</w:t>
            </w:r>
          </w:p>
        </w:tc>
        <w:tc>
          <w:tcPr>
            <w:tcW w:w="1323" w:type="dxa"/>
            <w:noWrap/>
            <w:hideMark/>
          </w:tcPr>
          <w:p w14:paraId="032EB87C" w14:textId="77777777" w:rsidR="002F2050" w:rsidRPr="00016D32" w:rsidRDefault="002F2050" w:rsidP="001B0859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41,7</w:t>
            </w:r>
          </w:p>
        </w:tc>
        <w:tc>
          <w:tcPr>
            <w:tcW w:w="1127" w:type="dxa"/>
            <w:noWrap/>
            <w:hideMark/>
          </w:tcPr>
          <w:p w14:paraId="3268289E" w14:textId="77777777" w:rsidR="002F2050" w:rsidRPr="00016D32" w:rsidRDefault="002F2050" w:rsidP="001B0859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40,2</w:t>
            </w:r>
          </w:p>
        </w:tc>
        <w:tc>
          <w:tcPr>
            <w:tcW w:w="1280" w:type="dxa"/>
          </w:tcPr>
          <w:p w14:paraId="60EAF863" w14:textId="77777777" w:rsidR="002F2050" w:rsidRPr="00016D32" w:rsidRDefault="002F2050" w:rsidP="001B0859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5.261</w:t>
            </w:r>
          </w:p>
        </w:tc>
        <w:tc>
          <w:tcPr>
            <w:tcW w:w="1338" w:type="dxa"/>
          </w:tcPr>
          <w:p w14:paraId="3147C748" w14:textId="77777777" w:rsidR="002F2050" w:rsidRPr="00016D32" w:rsidRDefault="002F2050" w:rsidP="001B0859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7,6</w:t>
            </w:r>
          </w:p>
        </w:tc>
      </w:tr>
      <w:tr w:rsidR="002F2050" w:rsidRPr="00016D32" w14:paraId="630E68D7" w14:textId="77777777" w:rsidTr="001B085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8" w:type="dxa"/>
            <w:noWrap/>
            <w:hideMark/>
          </w:tcPr>
          <w:p w14:paraId="1A789E62" w14:textId="77777777" w:rsidR="002F2050" w:rsidRPr="00016D32" w:rsidRDefault="002F2050" w:rsidP="001B0859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Γερμανία</w:t>
            </w:r>
          </w:p>
        </w:tc>
        <w:tc>
          <w:tcPr>
            <w:tcW w:w="1323" w:type="dxa"/>
            <w:noWrap/>
            <w:hideMark/>
          </w:tcPr>
          <w:p w14:paraId="2060E135" w14:textId="77777777" w:rsidR="002F2050" w:rsidRPr="00016D32" w:rsidRDefault="002F2050" w:rsidP="001B085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26,8</w:t>
            </w:r>
          </w:p>
        </w:tc>
        <w:tc>
          <w:tcPr>
            <w:tcW w:w="1127" w:type="dxa"/>
            <w:noWrap/>
            <w:hideMark/>
          </w:tcPr>
          <w:p w14:paraId="3FAC6C4B" w14:textId="77777777" w:rsidR="002F2050" w:rsidRPr="00016D32" w:rsidRDefault="002F2050" w:rsidP="001B085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25,8</w:t>
            </w:r>
          </w:p>
        </w:tc>
        <w:tc>
          <w:tcPr>
            <w:tcW w:w="1280" w:type="dxa"/>
          </w:tcPr>
          <w:p w14:paraId="54C3625F" w14:textId="77777777" w:rsidR="002F2050" w:rsidRPr="00016D32" w:rsidRDefault="002F2050" w:rsidP="001B085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2.573</w:t>
            </w:r>
          </w:p>
        </w:tc>
        <w:tc>
          <w:tcPr>
            <w:tcW w:w="1338" w:type="dxa"/>
          </w:tcPr>
          <w:p w14:paraId="66A1AA48" w14:textId="77777777" w:rsidR="002F2050" w:rsidRPr="00016D32" w:rsidRDefault="002F2050" w:rsidP="001B085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</w:tr>
      <w:tr w:rsidR="002F2050" w:rsidRPr="00016D32" w14:paraId="01A9B405" w14:textId="77777777" w:rsidTr="001B0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8" w:type="dxa"/>
            <w:noWrap/>
            <w:hideMark/>
          </w:tcPr>
          <w:p w14:paraId="3AD8F465" w14:textId="77777777" w:rsidR="002F2050" w:rsidRPr="00016D32" w:rsidRDefault="002F2050" w:rsidP="001B0859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Ισπανία</w:t>
            </w:r>
          </w:p>
        </w:tc>
        <w:tc>
          <w:tcPr>
            <w:tcW w:w="1323" w:type="dxa"/>
            <w:noWrap/>
            <w:hideMark/>
          </w:tcPr>
          <w:p w14:paraId="30249CEF" w14:textId="77777777" w:rsidR="002F2050" w:rsidRPr="00016D32" w:rsidRDefault="002F2050" w:rsidP="001B0859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6,7</w:t>
            </w:r>
          </w:p>
        </w:tc>
        <w:tc>
          <w:tcPr>
            <w:tcW w:w="1127" w:type="dxa"/>
            <w:noWrap/>
            <w:hideMark/>
          </w:tcPr>
          <w:p w14:paraId="07A5594A" w14:textId="77777777" w:rsidR="002F2050" w:rsidRPr="00016D32" w:rsidRDefault="002F2050" w:rsidP="001B0859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6,4</w:t>
            </w:r>
          </w:p>
        </w:tc>
        <w:tc>
          <w:tcPr>
            <w:tcW w:w="1280" w:type="dxa"/>
          </w:tcPr>
          <w:p w14:paraId="6D5F24E7" w14:textId="77777777" w:rsidR="002F2050" w:rsidRPr="00016D32" w:rsidRDefault="002F2050" w:rsidP="001B0859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1.934</w:t>
            </w:r>
          </w:p>
        </w:tc>
        <w:tc>
          <w:tcPr>
            <w:tcW w:w="1338" w:type="dxa"/>
          </w:tcPr>
          <w:p w14:paraId="76179485" w14:textId="77777777" w:rsidR="002F2050" w:rsidRPr="00016D32" w:rsidRDefault="002F2050" w:rsidP="001B0859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3,3</w:t>
            </w:r>
          </w:p>
        </w:tc>
      </w:tr>
      <w:tr w:rsidR="002F2050" w:rsidRPr="00016D32" w14:paraId="502BD341" w14:textId="77777777" w:rsidTr="001B085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8" w:type="dxa"/>
            <w:noWrap/>
            <w:hideMark/>
          </w:tcPr>
          <w:p w14:paraId="666BE77A" w14:textId="77777777" w:rsidR="002F2050" w:rsidRPr="00016D32" w:rsidRDefault="002F2050" w:rsidP="001B0859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016D32">
              <w:rPr>
                <w:rFonts w:ascii="Calibri" w:eastAsia="Times New Roman" w:hAnsi="Calibri" w:cs="Calibri"/>
                <w:lang w:eastAsia="el-GR"/>
              </w:rPr>
              <w:t>Η.Π.Α.</w:t>
            </w:r>
          </w:p>
        </w:tc>
        <w:tc>
          <w:tcPr>
            <w:tcW w:w="1323" w:type="dxa"/>
            <w:noWrap/>
            <w:hideMark/>
          </w:tcPr>
          <w:p w14:paraId="549C0DFC" w14:textId="77777777" w:rsidR="002F2050" w:rsidRPr="00016D32" w:rsidRDefault="002F2050" w:rsidP="001B085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1127" w:type="dxa"/>
            <w:noWrap/>
            <w:hideMark/>
          </w:tcPr>
          <w:p w14:paraId="01D1599D" w14:textId="77777777" w:rsidR="002F2050" w:rsidRPr="00016D32" w:rsidRDefault="002F2050" w:rsidP="001B085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4,8</w:t>
            </w:r>
          </w:p>
        </w:tc>
        <w:tc>
          <w:tcPr>
            <w:tcW w:w="1280" w:type="dxa"/>
          </w:tcPr>
          <w:p w14:paraId="57678013" w14:textId="77777777" w:rsidR="002F2050" w:rsidRPr="00016D32" w:rsidRDefault="002F2050" w:rsidP="001B085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524</w:t>
            </w:r>
          </w:p>
        </w:tc>
        <w:tc>
          <w:tcPr>
            <w:tcW w:w="1338" w:type="dxa"/>
          </w:tcPr>
          <w:p w14:paraId="38A940E8" w14:textId="77777777" w:rsidR="002F2050" w:rsidRPr="00016D32" w:rsidRDefault="002F2050" w:rsidP="001B085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9,2</w:t>
            </w:r>
          </w:p>
        </w:tc>
      </w:tr>
      <w:tr w:rsidR="002F2050" w:rsidRPr="00016D32" w14:paraId="07EF12E1" w14:textId="77777777" w:rsidTr="001B0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8" w:type="dxa"/>
            <w:noWrap/>
            <w:hideMark/>
          </w:tcPr>
          <w:p w14:paraId="3C544FB0" w14:textId="77777777" w:rsidR="002F2050" w:rsidRPr="00016D32" w:rsidRDefault="002F2050" w:rsidP="001B0859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016D32">
              <w:rPr>
                <w:rFonts w:ascii="Calibri" w:eastAsia="Times New Roman" w:hAnsi="Calibri" w:cs="Calibri"/>
                <w:lang w:eastAsia="el-GR"/>
              </w:rPr>
              <w:t>Γαλλία</w:t>
            </w:r>
          </w:p>
        </w:tc>
        <w:tc>
          <w:tcPr>
            <w:tcW w:w="1323" w:type="dxa"/>
            <w:noWrap/>
            <w:hideMark/>
          </w:tcPr>
          <w:p w14:paraId="0981DC12" w14:textId="77777777" w:rsidR="002F2050" w:rsidRPr="00016D32" w:rsidRDefault="002F2050" w:rsidP="001B0859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2,3</w:t>
            </w:r>
          </w:p>
        </w:tc>
        <w:tc>
          <w:tcPr>
            <w:tcW w:w="1127" w:type="dxa"/>
            <w:noWrap/>
            <w:hideMark/>
          </w:tcPr>
          <w:p w14:paraId="55E45CCE" w14:textId="77777777" w:rsidR="002F2050" w:rsidRPr="00016D32" w:rsidRDefault="002F2050" w:rsidP="001B0859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2,2</w:t>
            </w:r>
          </w:p>
        </w:tc>
        <w:tc>
          <w:tcPr>
            <w:tcW w:w="1280" w:type="dxa"/>
          </w:tcPr>
          <w:p w14:paraId="34C92281" w14:textId="77777777" w:rsidR="002F2050" w:rsidRPr="00016D32" w:rsidRDefault="002F2050" w:rsidP="001B0859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205</w:t>
            </w:r>
          </w:p>
        </w:tc>
        <w:tc>
          <w:tcPr>
            <w:tcW w:w="1338" w:type="dxa"/>
          </w:tcPr>
          <w:p w14:paraId="233D7646" w14:textId="77777777" w:rsidR="002F2050" w:rsidRPr="00016D32" w:rsidRDefault="002F2050" w:rsidP="001B0859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10,7</w:t>
            </w:r>
          </w:p>
        </w:tc>
      </w:tr>
    </w:tbl>
    <w:p w14:paraId="0A34753D" w14:textId="77777777" w:rsidR="002F2050" w:rsidRDefault="002F2050" w:rsidP="002F2050">
      <w:pPr>
        <w:jc w:val="both"/>
      </w:pPr>
    </w:p>
    <w:p w14:paraId="68C02953" w14:textId="17EF1BFD" w:rsidR="002F2050" w:rsidRPr="00AE7A01" w:rsidRDefault="002F2050" w:rsidP="002F2050">
      <w:pPr>
        <w:jc w:val="both"/>
      </w:pPr>
      <w:r>
        <w:lastRenderedPageBreak/>
        <w:t xml:space="preserve">Για τον κλάδο των Χημικών &amp; Πλαστικών, οι κυριότεροι αγοραστές είναι η Γαλλία με </w:t>
      </w:r>
      <w:r w:rsidR="005236BA">
        <w:t>8,8</w:t>
      </w:r>
      <w:r>
        <w:t xml:space="preserve"> εκ. ευρώ, η Γερμανία με </w:t>
      </w:r>
      <w:r w:rsidR="005236BA">
        <w:t>8,1</w:t>
      </w:r>
      <w:r>
        <w:t xml:space="preserve"> εκ. ευρώ, </w:t>
      </w:r>
      <w:r w:rsidR="005236BA">
        <w:t>το Μεξικό 4,6</w:t>
      </w:r>
      <w:r>
        <w:t xml:space="preserve"> εκ. ευρώ, η Ολλανδία με </w:t>
      </w:r>
      <w:r w:rsidR="005236BA">
        <w:t>4,2</w:t>
      </w:r>
      <w:r>
        <w:t xml:space="preserve"> εκ. ευρώ και η Ιταλία με </w:t>
      </w:r>
      <w:r w:rsidR="005236BA">
        <w:t>3,7</w:t>
      </w:r>
      <w:r>
        <w:t xml:space="preserve"> εκ. ευρώ. </w:t>
      </w:r>
    </w:p>
    <w:p w14:paraId="6F07D637" w14:textId="56714290" w:rsidR="0057270F" w:rsidRPr="005236BA" w:rsidRDefault="005236BA" w:rsidP="00121E89">
      <w:pPr>
        <w:jc w:val="both"/>
        <w:rPr>
          <w:rFonts w:ascii="Calibri" w:hAnsi="Calibri" w:cs="Calibri"/>
          <w:lang w:val="es-ES"/>
        </w:rPr>
      </w:pPr>
      <w:r w:rsidRPr="005236BA">
        <w:rPr>
          <w:rFonts w:ascii="Calibri" w:hAnsi="Calibri" w:cs="Calibri"/>
        </w:rPr>
        <w:drawing>
          <wp:inline distT="0" distB="0" distL="0" distR="0" wp14:anchorId="52138140" wp14:editId="5DEDDC26">
            <wp:extent cx="5274310" cy="3932555"/>
            <wp:effectExtent l="0" t="0" r="2540" b="0"/>
            <wp:docPr id="32541062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41062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3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0C943F" w14:textId="77777777" w:rsidR="00AF7D4E" w:rsidRDefault="00AF7D4E" w:rsidP="00F812C7">
      <w:pPr>
        <w:rPr>
          <w:b/>
          <w:bCs/>
        </w:rPr>
      </w:pPr>
    </w:p>
    <w:p w14:paraId="35CC0B40" w14:textId="749ACF38" w:rsidR="00730867" w:rsidRDefault="00F812C7" w:rsidP="00F812C7">
      <w:pPr>
        <w:rPr>
          <w:b/>
          <w:bCs/>
        </w:rPr>
      </w:pPr>
      <w:r w:rsidRPr="00F812C7">
        <w:rPr>
          <w:b/>
          <w:bCs/>
        </w:rPr>
        <w:t>Νομοί</w:t>
      </w:r>
    </w:p>
    <w:p w14:paraId="114C11AE" w14:textId="77777777" w:rsidR="00E51E0C" w:rsidRDefault="009E6D07" w:rsidP="00172084">
      <w:pPr>
        <w:jc w:val="both"/>
      </w:pPr>
      <w:r>
        <w:t>Κ</w:t>
      </w:r>
      <w:r w:rsidR="00172084">
        <w:t xml:space="preserve">ατά την εξεταζόμενη περίοδο Ιανουαρίου – Απριλίου 2024 </w:t>
      </w:r>
      <w:r w:rsidR="00F812C7">
        <w:t xml:space="preserve">ανά Νομό, </w:t>
      </w:r>
      <w:r>
        <w:t>τα στοιχεία μας δίνουν τα παρακάτω αποτελέσματα</w:t>
      </w:r>
      <w:r w:rsidR="00E51E0C">
        <w:t>:</w:t>
      </w:r>
    </w:p>
    <w:p w14:paraId="639D91BF" w14:textId="77777777" w:rsidR="00E51E0C" w:rsidRDefault="00E51E0C" w:rsidP="00E51E0C">
      <w:pPr>
        <w:pStyle w:val="a4"/>
        <w:numPr>
          <w:ilvl w:val="0"/>
          <w:numId w:val="2"/>
        </w:numPr>
        <w:jc w:val="both"/>
      </w:pPr>
      <w:r>
        <w:t>Νομός Ηρακλείου: 170,9 εκ. ευρώ, έναντι των 291,5 το 2023. Μείωση 41,4%</w:t>
      </w:r>
    </w:p>
    <w:p w14:paraId="5B5E2818" w14:textId="77777777" w:rsidR="00E51E0C" w:rsidRDefault="00E51E0C" w:rsidP="00E51E0C">
      <w:pPr>
        <w:pStyle w:val="a4"/>
        <w:numPr>
          <w:ilvl w:val="0"/>
          <w:numId w:val="2"/>
        </w:numPr>
        <w:jc w:val="both"/>
      </w:pPr>
      <w:r>
        <w:t>Νομός Λασιθίου: 13,5 εκ. ευρώ, έναντι των 46,6 το 2023. Μείωση 71%</w:t>
      </w:r>
    </w:p>
    <w:p w14:paraId="6562EABF" w14:textId="2A698516" w:rsidR="00E51E0C" w:rsidRDefault="00E51E0C" w:rsidP="00E51E0C">
      <w:pPr>
        <w:pStyle w:val="a4"/>
        <w:numPr>
          <w:ilvl w:val="0"/>
          <w:numId w:val="2"/>
        </w:numPr>
        <w:jc w:val="both"/>
      </w:pPr>
      <w:r>
        <w:t>Νομός Ρεθύμνου: 11,1 εκ. ευρώ, έναντι των 32,6 το 2023. Μείωση 66%</w:t>
      </w:r>
    </w:p>
    <w:p w14:paraId="424275B1" w14:textId="18CB1697" w:rsidR="00E51E0C" w:rsidRDefault="00E51E0C" w:rsidP="00E51E0C">
      <w:pPr>
        <w:pStyle w:val="a4"/>
        <w:numPr>
          <w:ilvl w:val="0"/>
          <w:numId w:val="2"/>
        </w:numPr>
        <w:jc w:val="both"/>
      </w:pPr>
      <w:r>
        <w:t>Νομός Χανίων: 66,8 εκ. ευρώ, έναντι των 68,3 το 2023. Μείωση 2,2%</w:t>
      </w:r>
    </w:p>
    <w:p w14:paraId="0FCB0371" w14:textId="422E5E3F" w:rsidR="00F812C7" w:rsidRPr="00E51E0C" w:rsidRDefault="00E9777B" w:rsidP="00172084">
      <w:pPr>
        <w:jc w:val="both"/>
      </w:pPr>
      <w:r>
        <w:t>Σε εξαγόμενη ποσότητα,  ο</w:t>
      </w:r>
      <w:r w:rsidR="00AF7D4E">
        <w:t xml:space="preserve"> Νομός Λασιθίου και ο Νομός Χανίων παρουσιάζουν αύξηση 24,3% και 3,1% αντίστοιχα</w:t>
      </w:r>
      <w:r>
        <w:t xml:space="preserve">, ενώ οι Νομοί Ηρακλείου και Ρεθύμνου μείωση 27,9% και 64,8% αντίστοιχα. </w:t>
      </w:r>
    </w:p>
    <w:p w14:paraId="164C0D84" w14:textId="631E9A5B" w:rsidR="00F812C7" w:rsidRPr="00F812C7" w:rsidRDefault="00AF7D4E" w:rsidP="00F812C7">
      <w:r w:rsidRPr="00AF7D4E">
        <w:lastRenderedPageBreak/>
        <w:drawing>
          <wp:inline distT="0" distB="0" distL="0" distR="0" wp14:anchorId="28147FC2" wp14:editId="44BEAC7F">
            <wp:extent cx="5274310" cy="3947795"/>
            <wp:effectExtent l="0" t="0" r="2540" b="0"/>
            <wp:docPr id="2016149754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14975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4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7A31AF" w14:textId="77777777" w:rsidR="00AF7D4E" w:rsidRDefault="00AF7D4E" w:rsidP="002F2050">
      <w:pPr>
        <w:jc w:val="both"/>
      </w:pPr>
    </w:p>
    <w:p w14:paraId="10E08D4A" w14:textId="77777777" w:rsidR="004D0B8B" w:rsidRDefault="004D0B8B" w:rsidP="002F2050">
      <w:pPr>
        <w:jc w:val="both"/>
        <w:rPr>
          <w:rFonts w:ascii="Calibri" w:hAnsi="Calibri" w:cs="Calibri"/>
        </w:rPr>
      </w:pPr>
      <w:r>
        <w:t>Ο Πρόεδρος του ΣΕΚ, κος Αλκιβιάδης Καλαμπόκης, δήλωσε: «</w:t>
      </w:r>
      <w:r w:rsidR="002F2050">
        <w:t xml:space="preserve">Η περίοδος Ιανουαρίου – </w:t>
      </w:r>
      <w:r w:rsidR="005236BA">
        <w:t xml:space="preserve">Απριλίου 2024 όπως </w:t>
      </w:r>
      <w:r w:rsidR="003D72B1">
        <w:t>είχαμε προβλέψει</w:t>
      </w:r>
      <w:r w:rsidR="005236BA">
        <w:t xml:space="preserve"> δεν αποτέλεσε καλή περίοδο </w:t>
      </w:r>
      <w:r w:rsidR="002F2050" w:rsidRPr="00C2759E">
        <w:rPr>
          <w:rFonts w:ascii="Calibri" w:hAnsi="Calibri" w:cs="Calibri"/>
        </w:rPr>
        <w:t xml:space="preserve">για τις εξαγωγές της Κρήτης, </w:t>
      </w:r>
      <w:r w:rsidR="005236BA">
        <w:rPr>
          <w:rFonts w:ascii="Calibri" w:hAnsi="Calibri" w:cs="Calibri"/>
        </w:rPr>
        <w:t xml:space="preserve">και αυτό οφείλεται όπως αναφέραμε ήδη στο μεγαλύτερο βαθμό στην τεράστια μείωση των εξαγωγών του ελαιολάδου. </w:t>
      </w:r>
      <w:r>
        <w:rPr>
          <w:rFonts w:ascii="Calibri" w:hAnsi="Calibri" w:cs="Calibri"/>
        </w:rPr>
        <w:t xml:space="preserve">Επιτακτική λοιπόν κρίνεται η ανάγκη, όπως διαχρονικά τονίζει ο Σύνδεσμος Εξαγωγέων Κρήτης, να διευρυνθεί η παραγωγική βάση και να δοθεί βαρύτητα και στα υπόλοιπα προϊόντα που παράγει και εξάγει η Κρήτη. </w:t>
      </w:r>
    </w:p>
    <w:p w14:paraId="05B6A407" w14:textId="3FCC5F86" w:rsidR="00A9738D" w:rsidRDefault="00A9738D" w:rsidP="00A9738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Όπως φαίνεται</w:t>
      </w:r>
      <w:r w:rsidR="00BD7FAC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η κατάσταση θα αρχίσει να ομαλοποιείται το 2025 και ο</w:t>
      </w:r>
      <w:r w:rsidR="004D0B8B">
        <w:rPr>
          <w:rFonts w:ascii="Calibri" w:hAnsi="Calibri" w:cs="Calibri"/>
        </w:rPr>
        <w:t>ι Κρήτες εξαγωγείς θα πρέπει να ξεπεράσουν τους εαυτούς</w:t>
      </w:r>
      <w:r>
        <w:rPr>
          <w:rFonts w:ascii="Calibri" w:hAnsi="Calibri" w:cs="Calibri"/>
        </w:rPr>
        <w:t xml:space="preserve"> τους</w:t>
      </w:r>
      <w:r w:rsidR="004D0B8B">
        <w:rPr>
          <w:rFonts w:ascii="Calibri" w:hAnsi="Calibri" w:cs="Calibri"/>
        </w:rPr>
        <w:t xml:space="preserve">, αλλά παράλληλα απαιτείται υποστήριξη από την Πολιτεία με την παροχή υποστηρικτικών εργαλείων, διευκόλυνση της εξαγωγικής διαδικασίας, προκήρυξη </w:t>
      </w:r>
      <w:r>
        <w:rPr>
          <w:rFonts w:ascii="Calibri" w:hAnsi="Calibri" w:cs="Calibri"/>
        </w:rPr>
        <w:t>επιχειρησιακών προγραμμάτων</w:t>
      </w:r>
      <w:r w:rsidR="004D0B8B">
        <w:rPr>
          <w:rFonts w:ascii="Calibri" w:hAnsi="Calibri" w:cs="Calibri"/>
        </w:rPr>
        <w:t xml:space="preserve"> (</w:t>
      </w:r>
      <w:r>
        <w:rPr>
          <w:rFonts w:ascii="Calibri" w:hAnsi="Calibri" w:cs="Calibri"/>
        </w:rPr>
        <w:t xml:space="preserve">όπως π.χ. ο σχεδιασμός νέου προγράμματος ΕΞΩΣΤΡΕΦΕΙΑ), </w:t>
      </w:r>
      <w:r w:rsidR="00E51E0C">
        <w:rPr>
          <w:rFonts w:ascii="Calibri" w:hAnsi="Calibri" w:cs="Calibri"/>
        </w:rPr>
        <w:t>εκπαίδευση και κατάρτιση</w:t>
      </w:r>
      <w:r w:rsidR="009E6D07">
        <w:rPr>
          <w:rFonts w:ascii="Calibri" w:hAnsi="Calibri" w:cs="Calibri"/>
        </w:rPr>
        <w:t xml:space="preserve"> νέας γενιάς εξαγωγέων</w:t>
      </w:r>
      <w:r w:rsidR="00E51E0C">
        <w:rPr>
          <w:rFonts w:ascii="Calibri" w:hAnsi="Calibri" w:cs="Calibri"/>
        </w:rPr>
        <w:t xml:space="preserve">, </w:t>
      </w:r>
      <w:r w:rsidR="009E6D07">
        <w:rPr>
          <w:rFonts w:ascii="Calibri" w:hAnsi="Calibri" w:cs="Calibri"/>
        </w:rPr>
        <w:t>φορολογικά κίνητρα εστιασμένα στις εξαγωγικές εταιρείες, διεύρυνση εξαγωγικής βάσης, άνοιγμα σε Τρίτες Χώρες</w:t>
      </w:r>
      <w:r>
        <w:rPr>
          <w:rFonts w:ascii="Calibri" w:hAnsi="Calibri" w:cs="Calibri"/>
        </w:rPr>
        <w:t xml:space="preserve"> κ.α. </w:t>
      </w:r>
      <w:r w:rsidR="00E51E0C">
        <w:rPr>
          <w:rFonts w:ascii="Calibri" w:hAnsi="Calibri" w:cs="Calibri"/>
        </w:rPr>
        <w:t>Α</w:t>
      </w:r>
      <w:r w:rsidR="006623E1">
        <w:rPr>
          <w:rFonts w:ascii="Calibri" w:hAnsi="Calibri" w:cs="Calibri"/>
        </w:rPr>
        <w:t xml:space="preserve">υτά είναι τα κλειδιά </w:t>
      </w:r>
      <w:r w:rsidR="00E51E0C">
        <w:rPr>
          <w:rFonts w:ascii="Calibri" w:hAnsi="Calibri" w:cs="Calibri"/>
        </w:rPr>
        <w:t xml:space="preserve">που </w:t>
      </w:r>
      <w:r w:rsidR="006623E1">
        <w:rPr>
          <w:rFonts w:ascii="Calibri" w:hAnsi="Calibri" w:cs="Calibri"/>
        </w:rPr>
        <w:t xml:space="preserve">θα πρέπει να </w:t>
      </w:r>
      <w:r w:rsidR="00E51E0C">
        <w:rPr>
          <w:rFonts w:ascii="Calibri" w:hAnsi="Calibri" w:cs="Calibri"/>
        </w:rPr>
        <w:t>αποτελούν</w:t>
      </w:r>
      <w:r w:rsidR="006623E1">
        <w:rPr>
          <w:rFonts w:ascii="Calibri" w:hAnsi="Calibri" w:cs="Calibri"/>
        </w:rPr>
        <w:t xml:space="preserve"> έναν </w:t>
      </w:r>
      <w:r w:rsidR="00E51E0C">
        <w:rPr>
          <w:rFonts w:ascii="Calibri" w:hAnsi="Calibri" w:cs="Calibri"/>
        </w:rPr>
        <w:t>μακροπρόθεσμο</w:t>
      </w:r>
      <w:r w:rsidR="006623E1">
        <w:rPr>
          <w:rFonts w:ascii="Calibri" w:hAnsi="Calibri" w:cs="Calibri"/>
        </w:rPr>
        <w:t xml:space="preserve"> στρατηγικό σχεδιασμό προκειμένου </w:t>
      </w:r>
      <w:r>
        <w:rPr>
          <w:rFonts w:ascii="Calibri" w:hAnsi="Calibri" w:cs="Calibri"/>
        </w:rPr>
        <w:t xml:space="preserve">οι εξαγωγές </w:t>
      </w:r>
      <w:r w:rsidR="006623E1">
        <w:rPr>
          <w:rFonts w:ascii="Calibri" w:hAnsi="Calibri" w:cs="Calibri"/>
        </w:rPr>
        <w:t>μας ν</w:t>
      </w:r>
      <w:r>
        <w:rPr>
          <w:rFonts w:ascii="Calibri" w:hAnsi="Calibri" w:cs="Calibri"/>
        </w:rPr>
        <w:t xml:space="preserve">α επανέλθουν </w:t>
      </w:r>
      <w:r w:rsidR="006623E1">
        <w:rPr>
          <w:rFonts w:ascii="Calibri" w:hAnsi="Calibri" w:cs="Calibri"/>
        </w:rPr>
        <w:t>σε</w:t>
      </w:r>
      <w:r>
        <w:rPr>
          <w:rFonts w:ascii="Calibri" w:hAnsi="Calibri" w:cs="Calibri"/>
        </w:rPr>
        <w:t xml:space="preserve"> ανοδική πορεία</w:t>
      </w:r>
      <w:r w:rsidR="006623E1">
        <w:rPr>
          <w:rFonts w:ascii="Calibri" w:hAnsi="Calibri" w:cs="Calibri"/>
        </w:rPr>
        <w:t>, όπως</w:t>
      </w:r>
      <w:r>
        <w:rPr>
          <w:rFonts w:ascii="Calibri" w:hAnsi="Calibri" w:cs="Calibri"/>
        </w:rPr>
        <w:t xml:space="preserve"> κατέγραφαν τα τελευταία χρόνια </w:t>
      </w:r>
      <w:r>
        <w:rPr>
          <w:rFonts w:ascii="Calibri" w:hAnsi="Calibri" w:cs="Calibri"/>
        </w:rPr>
        <w:t>καταρρίπτοντας κάθε χρόνο και νέο ρεκόρ</w:t>
      </w:r>
      <w:r>
        <w:rPr>
          <w:rFonts w:ascii="Calibri" w:hAnsi="Calibri" w:cs="Calibri"/>
        </w:rPr>
        <w:t xml:space="preserve">». </w:t>
      </w:r>
    </w:p>
    <w:p w14:paraId="54793767" w14:textId="77777777" w:rsidR="00BC76C7" w:rsidRPr="00BC76C7" w:rsidRDefault="00BC76C7" w:rsidP="00BC76C7">
      <w:pPr>
        <w:jc w:val="both"/>
      </w:pPr>
    </w:p>
    <w:sectPr w:rsidR="00BC76C7" w:rsidRPr="00BC76C7" w:rsidSect="00AC69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16DA8"/>
    <w:multiLevelType w:val="hybridMultilevel"/>
    <w:tmpl w:val="DDF6B5D2"/>
    <w:lvl w:ilvl="0" w:tplc="97948D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7249FA"/>
    <w:multiLevelType w:val="hybridMultilevel"/>
    <w:tmpl w:val="C6D44ECC"/>
    <w:lvl w:ilvl="0" w:tplc="B5A64DF2"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4576827">
    <w:abstractNumId w:val="1"/>
  </w:num>
  <w:num w:numId="2" w16cid:durableId="1803962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E89"/>
    <w:rsid w:val="0007294E"/>
    <w:rsid w:val="000B7A83"/>
    <w:rsid w:val="000C3AD4"/>
    <w:rsid w:val="00102EC3"/>
    <w:rsid w:val="00115AB8"/>
    <w:rsid w:val="00121E89"/>
    <w:rsid w:val="0017009B"/>
    <w:rsid w:val="00172084"/>
    <w:rsid w:val="001A04CE"/>
    <w:rsid w:val="001E0487"/>
    <w:rsid w:val="001F5D04"/>
    <w:rsid w:val="00211E72"/>
    <w:rsid w:val="002840D9"/>
    <w:rsid w:val="002A2D41"/>
    <w:rsid w:val="002C1C27"/>
    <w:rsid w:val="002D75D2"/>
    <w:rsid w:val="002E0EDC"/>
    <w:rsid w:val="002F2050"/>
    <w:rsid w:val="00364E70"/>
    <w:rsid w:val="00375249"/>
    <w:rsid w:val="003A5F5B"/>
    <w:rsid w:val="003C215F"/>
    <w:rsid w:val="003D72B1"/>
    <w:rsid w:val="0040764B"/>
    <w:rsid w:val="00412AB6"/>
    <w:rsid w:val="00421FDF"/>
    <w:rsid w:val="0047026A"/>
    <w:rsid w:val="004C17BA"/>
    <w:rsid w:val="004C4696"/>
    <w:rsid w:val="004D0B8B"/>
    <w:rsid w:val="005006CD"/>
    <w:rsid w:val="005236BA"/>
    <w:rsid w:val="0057270F"/>
    <w:rsid w:val="00573A33"/>
    <w:rsid w:val="00577878"/>
    <w:rsid w:val="00587EC4"/>
    <w:rsid w:val="005A3028"/>
    <w:rsid w:val="005B311F"/>
    <w:rsid w:val="005D5309"/>
    <w:rsid w:val="005E4579"/>
    <w:rsid w:val="005E691D"/>
    <w:rsid w:val="00600348"/>
    <w:rsid w:val="00634A58"/>
    <w:rsid w:val="00644DCC"/>
    <w:rsid w:val="006623E1"/>
    <w:rsid w:val="00664DBC"/>
    <w:rsid w:val="00686FD9"/>
    <w:rsid w:val="006F1B6D"/>
    <w:rsid w:val="006F2F3F"/>
    <w:rsid w:val="00730867"/>
    <w:rsid w:val="008265CA"/>
    <w:rsid w:val="00863068"/>
    <w:rsid w:val="00896DAF"/>
    <w:rsid w:val="008A0587"/>
    <w:rsid w:val="008D4586"/>
    <w:rsid w:val="00916ED0"/>
    <w:rsid w:val="00966597"/>
    <w:rsid w:val="00971A06"/>
    <w:rsid w:val="00974F28"/>
    <w:rsid w:val="00990038"/>
    <w:rsid w:val="009A6BE3"/>
    <w:rsid w:val="009D113B"/>
    <w:rsid w:val="009D4308"/>
    <w:rsid w:val="009E6D07"/>
    <w:rsid w:val="009F0079"/>
    <w:rsid w:val="00A67A41"/>
    <w:rsid w:val="00A9738D"/>
    <w:rsid w:val="00AC691D"/>
    <w:rsid w:val="00AE30C1"/>
    <w:rsid w:val="00AF7D4E"/>
    <w:rsid w:val="00B227F0"/>
    <w:rsid w:val="00B4736A"/>
    <w:rsid w:val="00BC175E"/>
    <w:rsid w:val="00BC76C7"/>
    <w:rsid w:val="00BD7FAC"/>
    <w:rsid w:val="00C33ED3"/>
    <w:rsid w:val="00C42ED4"/>
    <w:rsid w:val="00C438BD"/>
    <w:rsid w:val="00CF5D50"/>
    <w:rsid w:val="00D6206D"/>
    <w:rsid w:val="00D93794"/>
    <w:rsid w:val="00DB63C4"/>
    <w:rsid w:val="00E33F6F"/>
    <w:rsid w:val="00E51E0C"/>
    <w:rsid w:val="00E6443A"/>
    <w:rsid w:val="00E67472"/>
    <w:rsid w:val="00E87D96"/>
    <w:rsid w:val="00E9777B"/>
    <w:rsid w:val="00EB73EF"/>
    <w:rsid w:val="00EC2B4F"/>
    <w:rsid w:val="00F2378C"/>
    <w:rsid w:val="00F4334C"/>
    <w:rsid w:val="00F812C7"/>
    <w:rsid w:val="00FA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DA977"/>
  <w15:chartTrackingRefBased/>
  <w15:docId w15:val="{C5F938F3-2925-4739-9B91-BC83318FA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E89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5-2">
    <w:name w:val="Grid Table 5 Dark Accent 2"/>
    <w:basedOn w:val="a1"/>
    <w:uiPriority w:val="50"/>
    <w:rsid w:val="0073086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character" w:styleId="a3">
    <w:name w:val="Strong"/>
    <w:basedOn w:val="a0"/>
    <w:uiPriority w:val="22"/>
    <w:qFormat/>
    <w:rsid w:val="005006CD"/>
    <w:rPr>
      <w:b/>
      <w:bCs/>
    </w:rPr>
  </w:style>
  <w:style w:type="paragraph" w:styleId="a4">
    <w:name w:val="List Paragraph"/>
    <w:basedOn w:val="a"/>
    <w:uiPriority w:val="34"/>
    <w:qFormat/>
    <w:rsid w:val="00E51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10632-501C-472E-8F0F-E05A7B1D2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5987</TotalTime>
  <Pages>5</Pages>
  <Words>911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Exporters Association</dc:creator>
  <cp:keywords/>
  <dc:description/>
  <cp:lastModifiedBy>Exporters Association</cp:lastModifiedBy>
  <cp:revision>34</cp:revision>
  <dcterms:created xsi:type="dcterms:W3CDTF">2024-07-09T10:01:00Z</dcterms:created>
  <dcterms:modified xsi:type="dcterms:W3CDTF">2024-07-29T10:30:00Z</dcterms:modified>
</cp:coreProperties>
</file>